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EF" w:rsidRPr="00171135" w:rsidRDefault="007B2436" w:rsidP="00171135">
      <w:pPr>
        <w:spacing w:line="240" w:lineRule="auto"/>
        <w:jc w:val="both"/>
        <w:rPr>
          <w:rFonts w:ascii="Palatino Linotype" w:hAnsi="Palatino Linotype"/>
          <w:sz w:val="24"/>
          <w:szCs w:val="24"/>
        </w:rPr>
      </w:pPr>
      <w:r w:rsidRPr="00171135">
        <w:rPr>
          <w:rFonts w:ascii="Palatino Linotype" w:hAnsi="Palatino Linotype"/>
          <w:sz w:val="24"/>
          <w:szCs w:val="24"/>
        </w:rPr>
        <w:t xml:space="preserve">Ramón  Rodríguez (Coordinador), </w:t>
      </w:r>
      <w:r w:rsidRPr="00171135">
        <w:rPr>
          <w:rFonts w:ascii="Palatino Linotype" w:hAnsi="Palatino Linotype"/>
          <w:i/>
          <w:sz w:val="24"/>
          <w:szCs w:val="24"/>
        </w:rPr>
        <w:t>Ser  y Tiempo de Martin Heidegger.  Un Comentario Fenomenológico</w:t>
      </w:r>
      <w:r w:rsidR="00BE7AEF" w:rsidRPr="00171135">
        <w:rPr>
          <w:rFonts w:ascii="Palatino Linotype" w:hAnsi="Palatino Linotype"/>
          <w:sz w:val="24"/>
          <w:szCs w:val="24"/>
        </w:rPr>
        <w:t>,</w:t>
      </w:r>
      <w:r w:rsidRPr="00171135">
        <w:rPr>
          <w:rFonts w:ascii="Palatino Linotype" w:hAnsi="Palatino Linotype"/>
          <w:sz w:val="24"/>
          <w:szCs w:val="24"/>
        </w:rPr>
        <w:t xml:space="preserve"> </w:t>
      </w:r>
      <w:proofErr w:type="spellStart"/>
      <w:r w:rsidRPr="00171135">
        <w:rPr>
          <w:rFonts w:ascii="Palatino Linotype" w:hAnsi="Palatino Linotype"/>
          <w:sz w:val="24"/>
          <w:szCs w:val="24"/>
        </w:rPr>
        <w:t>Tecnos</w:t>
      </w:r>
      <w:proofErr w:type="spellEnd"/>
      <w:r w:rsidR="00BE7AEF" w:rsidRPr="00171135">
        <w:rPr>
          <w:rFonts w:ascii="Palatino Linotype" w:hAnsi="Palatino Linotype"/>
          <w:sz w:val="24"/>
          <w:szCs w:val="24"/>
        </w:rPr>
        <w:t>, Madrid, 2015, 441 pp.</w:t>
      </w:r>
    </w:p>
    <w:p w:rsidR="00BE7AEF" w:rsidRPr="00171135" w:rsidRDefault="00EA100B" w:rsidP="00171135">
      <w:pPr>
        <w:spacing w:line="240" w:lineRule="auto"/>
        <w:ind w:firstLine="709"/>
        <w:jc w:val="both"/>
        <w:rPr>
          <w:rFonts w:ascii="Palatino Linotype" w:hAnsi="Palatino Linotype"/>
          <w:sz w:val="24"/>
          <w:szCs w:val="24"/>
        </w:rPr>
      </w:pPr>
      <w:r w:rsidRPr="00171135">
        <w:rPr>
          <w:rFonts w:ascii="Palatino Linotype" w:hAnsi="Palatino Linotype"/>
          <w:sz w:val="24"/>
          <w:szCs w:val="24"/>
        </w:rPr>
        <w:t xml:space="preserve">Este nuevo comentario sobre </w:t>
      </w:r>
      <w:r w:rsidRPr="00171135">
        <w:rPr>
          <w:rFonts w:ascii="Palatino Linotype" w:hAnsi="Palatino Linotype"/>
          <w:i/>
          <w:sz w:val="24"/>
          <w:szCs w:val="24"/>
        </w:rPr>
        <w:t>Ser y Tiempo</w:t>
      </w:r>
      <w:r w:rsidRPr="00171135">
        <w:rPr>
          <w:rFonts w:ascii="Palatino Linotype" w:hAnsi="Palatino Linotype"/>
          <w:sz w:val="24"/>
          <w:szCs w:val="24"/>
        </w:rPr>
        <w:t xml:space="preserve"> </w:t>
      </w:r>
      <w:r w:rsidR="007443F0" w:rsidRPr="00171135">
        <w:rPr>
          <w:rFonts w:ascii="Palatino Linotype" w:hAnsi="Palatino Linotype"/>
          <w:sz w:val="24"/>
          <w:szCs w:val="24"/>
        </w:rPr>
        <w:t>constituye un esfuerzo colaborativo que toma la tarea de servir de ayuda al</w:t>
      </w:r>
      <w:r w:rsidR="00EC30AE" w:rsidRPr="00171135">
        <w:rPr>
          <w:rFonts w:ascii="Palatino Linotype" w:hAnsi="Palatino Linotype"/>
          <w:sz w:val="24"/>
          <w:szCs w:val="24"/>
        </w:rPr>
        <w:t xml:space="preserve"> lector</w:t>
      </w:r>
      <w:r w:rsidR="008C1E70" w:rsidRPr="00171135">
        <w:rPr>
          <w:rFonts w:ascii="Palatino Linotype" w:hAnsi="Palatino Linotype"/>
          <w:sz w:val="24"/>
          <w:szCs w:val="24"/>
        </w:rPr>
        <w:t>—</w:t>
      </w:r>
      <w:r w:rsidR="007443F0" w:rsidRPr="00171135">
        <w:rPr>
          <w:rFonts w:ascii="Palatino Linotype" w:hAnsi="Palatino Linotype"/>
          <w:sz w:val="24"/>
          <w:szCs w:val="24"/>
        </w:rPr>
        <w:t>y no sólo al estudioso especializado</w:t>
      </w:r>
      <w:r w:rsidR="008C1E70" w:rsidRPr="00171135">
        <w:rPr>
          <w:rFonts w:ascii="Palatino Linotype" w:hAnsi="Palatino Linotype"/>
          <w:sz w:val="24"/>
          <w:szCs w:val="24"/>
        </w:rPr>
        <w:t>—</w:t>
      </w:r>
      <w:r w:rsidR="007443F0" w:rsidRPr="00171135">
        <w:rPr>
          <w:rFonts w:ascii="Palatino Linotype" w:hAnsi="Palatino Linotype"/>
          <w:sz w:val="24"/>
          <w:szCs w:val="24"/>
        </w:rPr>
        <w:t xml:space="preserve"> </w:t>
      </w:r>
      <w:r w:rsidR="00FD710A" w:rsidRPr="00171135">
        <w:rPr>
          <w:rFonts w:ascii="Palatino Linotype" w:hAnsi="Palatino Linotype"/>
          <w:sz w:val="24"/>
          <w:szCs w:val="24"/>
        </w:rPr>
        <w:t>en el afán por</w:t>
      </w:r>
      <w:r w:rsidR="007443F0" w:rsidRPr="00171135">
        <w:rPr>
          <w:rFonts w:ascii="Palatino Linotype" w:hAnsi="Palatino Linotype"/>
          <w:sz w:val="24"/>
          <w:szCs w:val="24"/>
        </w:rPr>
        <w:t xml:space="preserve"> comprender con mayor profundidad y claridad el sentido de los análisis </w:t>
      </w:r>
      <w:r w:rsidR="00FD710A" w:rsidRPr="00171135">
        <w:rPr>
          <w:rFonts w:ascii="Palatino Linotype" w:hAnsi="Palatino Linotype"/>
          <w:sz w:val="24"/>
          <w:szCs w:val="24"/>
        </w:rPr>
        <w:t xml:space="preserve">que Heidegger va desarrollando en su obra mayor y más célebre (cf. p.11).  Tarea nada de fácil dado </w:t>
      </w:r>
      <w:r w:rsidR="00EC30AE" w:rsidRPr="00171135">
        <w:rPr>
          <w:rFonts w:ascii="Palatino Linotype" w:hAnsi="Palatino Linotype"/>
          <w:sz w:val="24"/>
          <w:szCs w:val="24"/>
        </w:rPr>
        <w:t xml:space="preserve">que, a primera vista, esta obra se presenta en un </w:t>
      </w:r>
      <w:r w:rsidR="00FD710A" w:rsidRPr="00171135">
        <w:rPr>
          <w:rFonts w:ascii="Palatino Linotype" w:hAnsi="Palatino Linotype"/>
          <w:sz w:val="24"/>
          <w:szCs w:val="24"/>
        </w:rPr>
        <w:t xml:space="preserve">intrincado estilo expositivo y </w:t>
      </w:r>
      <w:r w:rsidR="00531A5F" w:rsidRPr="00171135">
        <w:rPr>
          <w:rFonts w:ascii="Palatino Linotype" w:hAnsi="Palatino Linotype"/>
          <w:sz w:val="24"/>
          <w:szCs w:val="24"/>
        </w:rPr>
        <w:t xml:space="preserve">se expresa </w:t>
      </w:r>
      <w:r w:rsidR="00EC30AE" w:rsidRPr="00171135">
        <w:rPr>
          <w:rFonts w:ascii="Palatino Linotype" w:hAnsi="Palatino Linotype"/>
          <w:sz w:val="24"/>
          <w:szCs w:val="24"/>
        </w:rPr>
        <w:t>mediante una compleja</w:t>
      </w:r>
      <w:r w:rsidR="00FD710A" w:rsidRPr="00171135">
        <w:rPr>
          <w:rFonts w:ascii="Palatino Linotype" w:hAnsi="Palatino Linotype"/>
          <w:sz w:val="24"/>
          <w:szCs w:val="24"/>
        </w:rPr>
        <w:t xml:space="preserve"> </w:t>
      </w:r>
      <w:r w:rsidR="00EC30AE" w:rsidRPr="00171135">
        <w:rPr>
          <w:rFonts w:ascii="Palatino Linotype" w:hAnsi="Palatino Linotype"/>
          <w:sz w:val="24"/>
          <w:szCs w:val="24"/>
        </w:rPr>
        <w:t>terminología</w:t>
      </w:r>
      <w:r w:rsidR="00C25CE6" w:rsidRPr="00171135">
        <w:rPr>
          <w:rFonts w:ascii="Palatino Linotype" w:hAnsi="Palatino Linotype"/>
          <w:sz w:val="24"/>
          <w:szCs w:val="24"/>
        </w:rPr>
        <w:t xml:space="preserve">; </w:t>
      </w:r>
      <w:r w:rsidR="001F4AEA" w:rsidRPr="00171135">
        <w:rPr>
          <w:rFonts w:ascii="Palatino Linotype" w:hAnsi="Palatino Linotype"/>
          <w:sz w:val="24"/>
          <w:szCs w:val="24"/>
        </w:rPr>
        <w:t>dificultades</w:t>
      </w:r>
      <w:r w:rsidR="00C25CE6" w:rsidRPr="00171135">
        <w:rPr>
          <w:rFonts w:ascii="Palatino Linotype" w:hAnsi="Palatino Linotype"/>
          <w:sz w:val="24"/>
          <w:szCs w:val="24"/>
        </w:rPr>
        <w:t xml:space="preserve"> que, sin embargo, no obstan para considerarla como una de las obras filosóficas </w:t>
      </w:r>
      <w:r w:rsidR="00FC468E" w:rsidRPr="00171135">
        <w:rPr>
          <w:rFonts w:ascii="Palatino Linotype" w:hAnsi="Palatino Linotype"/>
          <w:sz w:val="24"/>
          <w:szCs w:val="24"/>
        </w:rPr>
        <w:t>centrales</w:t>
      </w:r>
      <w:r w:rsidR="00C25CE6" w:rsidRPr="00171135">
        <w:rPr>
          <w:rFonts w:ascii="Palatino Linotype" w:hAnsi="Palatino Linotype"/>
          <w:sz w:val="24"/>
          <w:szCs w:val="24"/>
        </w:rPr>
        <w:t xml:space="preserve"> del siglo XX</w:t>
      </w:r>
      <w:r w:rsidR="00F44EC5" w:rsidRPr="00171135">
        <w:rPr>
          <w:rFonts w:ascii="Palatino Linotype" w:hAnsi="Palatino Linotype"/>
          <w:sz w:val="24"/>
          <w:szCs w:val="24"/>
        </w:rPr>
        <w:t>,</w:t>
      </w:r>
      <w:r w:rsidR="001F4AEA" w:rsidRPr="00171135">
        <w:rPr>
          <w:rFonts w:ascii="Palatino Linotype" w:hAnsi="Palatino Linotype"/>
          <w:sz w:val="24"/>
          <w:szCs w:val="24"/>
        </w:rPr>
        <w:t xml:space="preserve"> cuya influencia intelectual sigue siendo decisiva hoy.</w:t>
      </w:r>
    </w:p>
    <w:p w:rsidR="00C75B50" w:rsidRPr="00171135" w:rsidRDefault="00C75B50" w:rsidP="00171135">
      <w:pPr>
        <w:spacing w:line="240" w:lineRule="auto"/>
        <w:ind w:firstLine="709"/>
        <w:jc w:val="both"/>
        <w:rPr>
          <w:rFonts w:ascii="Palatino Linotype" w:hAnsi="Palatino Linotype"/>
          <w:sz w:val="24"/>
          <w:szCs w:val="24"/>
        </w:rPr>
      </w:pPr>
      <w:r w:rsidRPr="00171135">
        <w:rPr>
          <w:rFonts w:ascii="Palatino Linotype" w:hAnsi="Palatino Linotype"/>
          <w:sz w:val="24"/>
          <w:szCs w:val="24"/>
        </w:rPr>
        <w:t xml:space="preserve">El comentario cumple </w:t>
      </w:r>
      <w:r w:rsidR="00420790" w:rsidRPr="00171135">
        <w:rPr>
          <w:rFonts w:ascii="Palatino Linotype" w:hAnsi="Palatino Linotype"/>
          <w:sz w:val="24"/>
          <w:szCs w:val="24"/>
        </w:rPr>
        <w:t>sobradamente</w:t>
      </w:r>
      <w:r w:rsidRPr="00171135">
        <w:rPr>
          <w:rFonts w:ascii="Palatino Linotype" w:hAnsi="Palatino Linotype"/>
          <w:sz w:val="24"/>
          <w:szCs w:val="24"/>
        </w:rPr>
        <w:t xml:space="preserve"> con las condiciones que supone afrontar esta tarea. </w:t>
      </w:r>
      <w:r w:rsidR="0000621E" w:rsidRPr="00171135">
        <w:rPr>
          <w:rFonts w:ascii="Palatino Linotype" w:hAnsi="Palatino Linotype"/>
          <w:sz w:val="24"/>
          <w:szCs w:val="24"/>
        </w:rPr>
        <w:t>En primer lugar porque</w:t>
      </w:r>
      <w:r w:rsidR="00145622" w:rsidRPr="00171135">
        <w:rPr>
          <w:rFonts w:ascii="Palatino Linotype" w:hAnsi="Palatino Linotype"/>
          <w:sz w:val="24"/>
          <w:szCs w:val="24"/>
        </w:rPr>
        <w:t xml:space="preserve"> </w:t>
      </w:r>
      <w:r w:rsidR="00570A18" w:rsidRPr="00171135">
        <w:rPr>
          <w:rFonts w:ascii="Palatino Linotype" w:hAnsi="Palatino Linotype"/>
          <w:sz w:val="24"/>
          <w:szCs w:val="24"/>
        </w:rPr>
        <w:t>cada uno de los comentadores</w:t>
      </w:r>
      <w:r w:rsidR="00F44EC5" w:rsidRPr="00171135">
        <w:rPr>
          <w:rFonts w:ascii="Palatino Linotype" w:hAnsi="Palatino Linotype"/>
          <w:sz w:val="24"/>
          <w:szCs w:val="24"/>
        </w:rPr>
        <w:t>,</w:t>
      </w:r>
      <w:r w:rsidR="00570A18" w:rsidRPr="00171135">
        <w:rPr>
          <w:rFonts w:ascii="Palatino Linotype" w:hAnsi="Palatino Linotype"/>
          <w:sz w:val="24"/>
          <w:szCs w:val="24"/>
        </w:rPr>
        <w:t xml:space="preserve"> reu</w:t>
      </w:r>
      <w:r w:rsidR="00145622" w:rsidRPr="00171135">
        <w:rPr>
          <w:rFonts w:ascii="Palatino Linotype" w:hAnsi="Palatino Linotype"/>
          <w:sz w:val="24"/>
          <w:szCs w:val="24"/>
        </w:rPr>
        <w:t xml:space="preserve">nidos aquí bajo la coordinación de un estudioso del pensamiento de Heidegger de la talla de Ramón Rodríguez, </w:t>
      </w:r>
      <w:r w:rsidR="00570A18" w:rsidRPr="00171135">
        <w:rPr>
          <w:rFonts w:ascii="Palatino Linotype" w:hAnsi="Palatino Linotype"/>
          <w:sz w:val="24"/>
          <w:szCs w:val="24"/>
        </w:rPr>
        <w:t>tiene una maciza y reconocida trayectoria de investigación y producción</w:t>
      </w:r>
      <w:r w:rsidR="0000621E" w:rsidRPr="00171135">
        <w:rPr>
          <w:rFonts w:ascii="Palatino Linotype" w:hAnsi="Palatino Linotype"/>
          <w:sz w:val="24"/>
          <w:szCs w:val="24"/>
        </w:rPr>
        <w:t xml:space="preserve"> </w:t>
      </w:r>
      <w:r w:rsidR="00145622" w:rsidRPr="00171135">
        <w:rPr>
          <w:rFonts w:ascii="Palatino Linotype" w:hAnsi="Palatino Linotype"/>
          <w:sz w:val="24"/>
          <w:szCs w:val="24"/>
        </w:rPr>
        <w:t xml:space="preserve">en fenomenología y hermenéutica. </w:t>
      </w:r>
      <w:r w:rsidR="00BD5361" w:rsidRPr="00171135">
        <w:rPr>
          <w:rFonts w:ascii="Palatino Linotype" w:hAnsi="Palatino Linotype"/>
          <w:sz w:val="24"/>
          <w:szCs w:val="24"/>
        </w:rPr>
        <w:t xml:space="preserve">Por otra parte, no se trata de una colección de ensayos en formato más o menos libre, sino </w:t>
      </w:r>
      <w:r w:rsidR="009F318E" w:rsidRPr="00171135">
        <w:rPr>
          <w:rFonts w:ascii="Palatino Linotype" w:hAnsi="Palatino Linotype"/>
          <w:sz w:val="24"/>
          <w:szCs w:val="24"/>
        </w:rPr>
        <w:t>de  una serie de comentarios que en lo principal están guiados por la fidelidad al texto</w:t>
      </w:r>
      <w:r w:rsidR="008C1E70" w:rsidRPr="00171135">
        <w:rPr>
          <w:rFonts w:ascii="Palatino Linotype" w:hAnsi="Palatino Linotype"/>
          <w:sz w:val="24"/>
          <w:szCs w:val="24"/>
        </w:rPr>
        <w:t>. Además, el comentario abarca la totalidad de esta obra</w:t>
      </w:r>
      <w:r w:rsidR="009F318E" w:rsidRPr="00171135">
        <w:rPr>
          <w:rFonts w:ascii="Palatino Linotype" w:hAnsi="Palatino Linotype"/>
          <w:sz w:val="24"/>
          <w:szCs w:val="24"/>
        </w:rPr>
        <w:t>.</w:t>
      </w:r>
      <w:r w:rsidR="008C1E70" w:rsidRPr="00171135">
        <w:rPr>
          <w:rStyle w:val="Refdenotaalpie"/>
          <w:rFonts w:ascii="Palatino Linotype" w:hAnsi="Palatino Linotype"/>
          <w:sz w:val="24"/>
          <w:szCs w:val="24"/>
        </w:rPr>
        <w:t xml:space="preserve"> </w:t>
      </w:r>
      <w:r w:rsidR="008C1E70" w:rsidRPr="00171135">
        <w:rPr>
          <w:rStyle w:val="Refdenotaalpie"/>
          <w:rFonts w:ascii="Palatino Linotype" w:hAnsi="Palatino Linotype"/>
          <w:sz w:val="24"/>
          <w:szCs w:val="24"/>
        </w:rPr>
        <w:footnoteReference w:id="1"/>
      </w:r>
      <w:r w:rsidR="009F318E" w:rsidRPr="00171135">
        <w:rPr>
          <w:rFonts w:ascii="Palatino Linotype" w:hAnsi="Palatino Linotype"/>
          <w:sz w:val="24"/>
          <w:szCs w:val="24"/>
        </w:rPr>
        <w:t xml:space="preserve"> De esta forma, el lector encontrará que para cada capítulo de ST </w:t>
      </w:r>
      <w:r w:rsidR="00DB5610" w:rsidRPr="00171135">
        <w:rPr>
          <w:rFonts w:ascii="Palatino Linotype" w:hAnsi="Palatino Linotype"/>
          <w:sz w:val="24"/>
          <w:szCs w:val="24"/>
        </w:rPr>
        <w:t xml:space="preserve">hay en el comentario un análisis reconstructivo que recoge las principales líneas expositivas de ese capítulo. La simetría entre obra y comentario, sin embargo, no es exacta, pues el comentario posee un capítulo más (15) que el original (14). </w:t>
      </w:r>
      <w:r w:rsidR="00336C0C" w:rsidRPr="00171135">
        <w:rPr>
          <w:rFonts w:ascii="Palatino Linotype" w:hAnsi="Palatino Linotype"/>
          <w:sz w:val="24"/>
          <w:szCs w:val="24"/>
        </w:rPr>
        <w:t xml:space="preserve">Asimismo, los 11 primeros parágrafos, es decir, la parte introductoria de esta obra, no se distribuyen en el comentario a imagen </w:t>
      </w:r>
      <w:r w:rsidR="0061678F" w:rsidRPr="00171135">
        <w:rPr>
          <w:rFonts w:ascii="Palatino Linotype" w:hAnsi="Palatino Linotype"/>
          <w:sz w:val="24"/>
          <w:szCs w:val="24"/>
        </w:rPr>
        <w:t>calcada</w:t>
      </w:r>
      <w:r w:rsidR="00336C0C" w:rsidRPr="00171135">
        <w:rPr>
          <w:rFonts w:ascii="Palatino Linotype" w:hAnsi="Palatino Linotype"/>
          <w:sz w:val="24"/>
          <w:szCs w:val="24"/>
        </w:rPr>
        <w:t xml:space="preserve"> del original, sino que destaca el hecho de que el parágrafo </w:t>
      </w:r>
      <w:r w:rsidR="0061678F" w:rsidRPr="00171135">
        <w:rPr>
          <w:rFonts w:ascii="Palatino Linotype" w:hAnsi="Palatino Linotype"/>
          <w:sz w:val="24"/>
          <w:szCs w:val="24"/>
        </w:rPr>
        <w:t>séptimo</w:t>
      </w:r>
      <w:r w:rsidR="00420790" w:rsidRPr="00171135">
        <w:rPr>
          <w:rFonts w:ascii="Palatino Linotype" w:hAnsi="Palatino Linotype"/>
          <w:sz w:val="24"/>
          <w:szCs w:val="24"/>
        </w:rPr>
        <w:t xml:space="preserve"> (dedicado a</w:t>
      </w:r>
      <w:r w:rsidR="00256417" w:rsidRPr="00171135">
        <w:rPr>
          <w:rFonts w:ascii="Palatino Linotype" w:hAnsi="Palatino Linotype"/>
          <w:sz w:val="24"/>
          <w:szCs w:val="24"/>
        </w:rPr>
        <w:t xml:space="preserve">l método </w:t>
      </w:r>
      <w:proofErr w:type="spellStart"/>
      <w:r w:rsidR="00256417" w:rsidRPr="00171135">
        <w:rPr>
          <w:rFonts w:ascii="Palatino Linotype" w:hAnsi="Palatino Linotype"/>
          <w:sz w:val="24"/>
          <w:szCs w:val="24"/>
        </w:rPr>
        <w:t>onto</w:t>
      </w:r>
      <w:proofErr w:type="spellEnd"/>
      <w:r w:rsidR="00256417" w:rsidRPr="00171135">
        <w:rPr>
          <w:rFonts w:ascii="Palatino Linotype" w:hAnsi="Palatino Linotype"/>
          <w:sz w:val="24"/>
          <w:szCs w:val="24"/>
        </w:rPr>
        <w:t xml:space="preserve">-fenomenológico) es examinado por François </w:t>
      </w:r>
      <w:proofErr w:type="spellStart"/>
      <w:r w:rsidR="00256417" w:rsidRPr="00171135">
        <w:rPr>
          <w:rFonts w:ascii="Palatino Linotype" w:hAnsi="Palatino Linotype"/>
          <w:sz w:val="24"/>
          <w:szCs w:val="24"/>
        </w:rPr>
        <w:t>Jaran</w:t>
      </w:r>
      <w:proofErr w:type="spellEnd"/>
      <w:r w:rsidR="00256417" w:rsidRPr="00171135">
        <w:rPr>
          <w:rFonts w:ascii="Palatino Linotype" w:hAnsi="Palatino Linotype"/>
          <w:sz w:val="24"/>
          <w:szCs w:val="24"/>
        </w:rPr>
        <w:t xml:space="preserve"> de forma aislada en un capítulo aparte. La razones que hay detrás de esto son fundamentales pues le dan a este comentario su cuño peculiarísimo y representan en suma el espíritu qu</w:t>
      </w:r>
      <w:r w:rsidR="00420790" w:rsidRPr="00171135">
        <w:rPr>
          <w:rFonts w:ascii="Palatino Linotype" w:hAnsi="Palatino Linotype"/>
          <w:sz w:val="24"/>
          <w:szCs w:val="24"/>
        </w:rPr>
        <w:t>e lo anima, a saber, el de ser é</w:t>
      </w:r>
      <w:r w:rsidR="00256417" w:rsidRPr="00171135">
        <w:rPr>
          <w:rFonts w:ascii="Palatino Linotype" w:hAnsi="Palatino Linotype"/>
          <w:sz w:val="24"/>
          <w:szCs w:val="24"/>
        </w:rPr>
        <w:t xml:space="preserve">l mismo un comentario </w:t>
      </w:r>
      <w:r w:rsidR="00256417" w:rsidRPr="00171135">
        <w:rPr>
          <w:rFonts w:ascii="Palatino Linotype" w:hAnsi="Palatino Linotype"/>
          <w:i/>
          <w:sz w:val="24"/>
          <w:szCs w:val="24"/>
        </w:rPr>
        <w:t>fenomenológico</w:t>
      </w:r>
      <w:r w:rsidR="00256417" w:rsidRPr="00171135">
        <w:rPr>
          <w:rFonts w:ascii="Palatino Linotype" w:hAnsi="Palatino Linotype"/>
          <w:sz w:val="24"/>
          <w:szCs w:val="24"/>
        </w:rPr>
        <w:t xml:space="preserve"> sobre ST. </w:t>
      </w:r>
      <w:r w:rsidR="00420790" w:rsidRPr="00171135">
        <w:rPr>
          <w:rFonts w:ascii="Palatino Linotype" w:hAnsi="Palatino Linotype"/>
          <w:sz w:val="24"/>
          <w:szCs w:val="24"/>
        </w:rPr>
        <w:t>Hacia el final de esta reseña me referiré con más detalle a este hecho, tal vez el más notable y original.</w:t>
      </w:r>
    </w:p>
    <w:p w:rsidR="00420790" w:rsidRPr="00171135" w:rsidRDefault="008C1E70" w:rsidP="00171135">
      <w:pPr>
        <w:spacing w:line="240" w:lineRule="auto"/>
        <w:ind w:firstLine="709"/>
        <w:jc w:val="both"/>
        <w:rPr>
          <w:rFonts w:ascii="Palatino Linotype" w:hAnsi="Palatino Linotype"/>
          <w:sz w:val="24"/>
          <w:szCs w:val="24"/>
        </w:rPr>
      </w:pPr>
      <w:r w:rsidRPr="00171135">
        <w:rPr>
          <w:rFonts w:ascii="Palatino Linotype" w:hAnsi="Palatino Linotype"/>
          <w:sz w:val="24"/>
          <w:szCs w:val="24"/>
        </w:rPr>
        <w:t>L</w:t>
      </w:r>
      <w:r w:rsidR="00860D72" w:rsidRPr="00171135">
        <w:rPr>
          <w:rFonts w:ascii="Palatino Linotype" w:hAnsi="Palatino Linotype"/>
          <w:sz w:val="24"/>
          <w:szCs w:val="24"/>
        </w:rPr>
        <w:t xml:space="preserve">os 6 primeros parágrafos de la </w:t>
      </w:r>
      <w:r w:rsidR="007E31DB" w:rsidRPr="00171135">
        <w:rPr>
          <w:rFonts w:ascii="Palatino Linotype" w:hAnsi="Palatino Linotype"/>
          <w:sz w:val="24"/>
          <w:szCs w:val="24"/>
        </w:rPr>
        <w:t>Introducción (</w:t>
      </w:r>
      <w:r w:rsidR="00A35D27" w:rsidRPr="00171135">
        <w:rPr>
          <w:rFonts w:ascii="Palatino Linotype" w:hAnsi="Palatino Linotype"/>
          <w:i/>
          <w:sz w:val="24"/>
          <w:szCs w:val="24"/>
        </w:rPr>
        <w:t xml:space="preserve">La </w:t>
      </w:r>
      <w:r w:rsidR="009B2B90" w:rsidRPr="00171135">
        <w:rPr>
          <w:rFonts w:ascii="Palatino Linotype" w:hAnsi="Palatino Linotype"/>
          <w:i/>
          <w:sz w:val="24"/>
          <w:szCs w:val="24"/>
        </w:rPr>
        <w:t xml:space="preserve">Exposición de la </w:t>
      </w:r>
      <w:r w:rsidR="007E31DB" w:rsidRPr="00171135">
        <w:rPr>
          <w:rFonts w:ascii="Palatino Linotype" w:hAnsi="Palatino Linotype"/>
          <w:i/>
          <w:sz w:val="24"/>
          <w:szCs w:val="24"/>
        </w:rPr>
        <w:t>pregunta por el sentido del ser</w:t>
      </w:r>
      <w:r w:rsidR="009B2B90" w:rsidRPr="00171135">
        <w:rPr>
          <w:rFonts w:ascii="Palatino Linotype" w:hAnsi="Palatino Linotype"/>
          <w:sz w:val="24"/>
          <w:szCs w:val="24"/>
        </w:rPr>
        <w:t xml:space="preserve">) </w:t>
      </w:r>
      <w:r w:rsidR="00860D72" w:rsidRPr="00171135">
        <w:rPr>
          <w:rFonts w:ascii="Palatino Linotype" w:hAnsi="Palatino Linotype"/>
          <w:sz w:val="24"/>
          <w:szCs w:val="24"/>
        </w:rPr>
        <w:t xml:space="preserve"> han quedado a cargo de Jean </w:t>
      </w:r>
      <w:proofErr w:type="spellStart"/>
      <w:r w:rsidR="00860D72" w:rsidRPr="00171135">
        <w:rPr>
          <w:rFonts w:ascii="Palatino Linotype" w:hAnsi="Palatino Linotype"/>
          <w:sz w:val="24"/>
          <w:szCs w:val="24"/>
        </w:rPr>
        <w:t>Grondin</w:t>
      </w:r>
      <w:proofErr w:type="spellEnd"/>
      <w:r w:rsidR="00860D72" w:rsidRPr="00171135">
        <w:rPr>
          <w:rFonts w:ascii="Palatino Linotype" w:hAnsi="Palatino Linotype"/>
          <w:sz w:val="24"/>
          <w:szCs w:val="24"/>
        </w:rPr>
        <w:t xml:space="preserve">, cuyo original en alemán ha sido traducido por Miguel Oliva </w:t>
      </w:r>
      <w:proofErr w:type="spellStart"/>
      <w:r w:rsidR="00860D72" w:rsidRPr="00171135">
        <w:rPr>
          <w:rFonts w:ascii="Palatino Linotype" w:hAnsi="Palatino Linotype"/>
          <w:sz w:val="24"/>
          <w:szCs w:val="24"/>
        </w:rPr>
        <w:t>Rioboó</w:t>
      </w:r>
      <w:proofErr w:type="spellEnd"/>
      <w:r w:rsidR="00A35D27" w:rsidRPr="00171135">
        <w:rPr>
          <w:rFonts w:ascii="Palatino Linotype" w:hAnsi="Palatino Linotype"/>
          <w:sz w:val="24"/>
          <w:szCs w:val="24"/>
        </w:rPr>
        <w:t>. E</w:t>
      </w:r>
      <w:r w:rsidR="00BF0136" w:rsidRPr="00171135">
        <w:rPr>
          <w:rFonts w:ascii="Palatino Linotype" w:hAnsi="Palatino Linotype"/>
          <w:sz w:val="24"/>
          <w:szCs w:val="24"/>
        </w:rPr>
        <w:t>l parágrafo séptimo</w:t>
      </w:r>
      <w:r w:rsidR="00860D72" w:rsidRPr="00171135">
        <w:rPr>
          <w:rFonts w:ascii="Palatino Linotype" w:hAnsi="Palatino Linotype"/>
          <w:sz w:val="24"/>
          <w:szCs w:val="24"/>
        </w:rPr>
        <w:t xml:space="preserve">, como ya se </w:t>
      </w:r>
      <w:r w:rsidR="00860D72" w:rsidRPr="00171135">
        <w:rPr>
          <w:rFonts w:ascii="Palatino Linotype" w:hAnsi="Palatino Linotype"/>
          <w:sz w:val="24"/>
          <w:szCs w:val="24"/>
        </w:rPr>
        <w:lastRenderedPageBreak/>
        <w:t xml:space="preserve">mencionó, es comentado por François </w:t>
      </w:r>
      <w:proofErr w:type="spellStart"/>
      <w:r w:rsidR="00860D72" w:rsidRPr="00171135">
        <w:rPr>
          <w:rFonts w:ascii="Palatino Linotype" w:hAnsi="Palatino Linotype"/>
          <w:sz w:val="24"/>
          <w:szCs w:val="24"/>
        </w:rPr>
        <w:t>Jaran</w:t>
      </w:r>
      <w:proofErr w:type="spellEnd"/>
      <w:r w:rsidR="00A35D27" w:rsidRPr="00171135">
        <w:rPr>
          <w:rFonts w:ascii="Palatino Linotype" w:hAnsi="Palatino Linotype"/>
          <w:sz w:val="24"/>
          <w:szCs w:val="24"/>
        </w:rPr>
        <w:t xml:space="preserve">. </w:t>
      </w:r>
      <w:r w:rsidR="00860D72" w:rsidRPr="00171135">
        <w:rPr>
          <w:rFonts w:ascii="Palatino Linotype" w:hAnsi="Palatino Linotype"/>
          <w:sz w:val="24"/>
          <w:szCs w:val="24"/>
        </w:rPr>
        <w:t xml:space="preserve"> </w:t>
      </w:r>
      <w:r w:rsidR="00A35D27" w:rsidRPr="00171135">
        <w:rPr>
          <w:rFonts w:ascii="Palatino Linotype" w:hAnsi="Palatino Linotype"/>
          <w:sz w:val="24"/>
          <w:szCs w:val="24"/>
        </w:rPr>
        <w:t>El parágrafo final de la Introducción (</w:t>
      </w:r>
      <w:r w:rsidR="00BF0136" w:rsidRPr="00171135">
        <w:rPr>
          <w:rFonts w:ascii="Palatino Linotype" w:hAnsi="Palatino Linotype"/>
          <w:sz w:val="24"/>
          <w:szCs w:val="24"/>
        </w:rPr>
        <w:t>el parágrafo octavo</w:t>
      </w:r>
      <w:r w:rsidR="00A35D27" w:rsidRPr="00171135">
        <w:rPr>
          <w:rFonts w:ascii="Palatino Linotype" w:hAnsi="Palatino Linotype"/>
          <w:sz w:val="24"/>
          <w:szCs w:val="24"/>
        </w:rPr>
        <w:t>) ha sido incluido en el comentario que Ramón Rodríguez hace del primer c</w:t>
      </w:r>
      <w:r w:rsidR="007E31DB" w:rsidRPr="00171135">
        <w:rPr>
          <w:rFonts w:ascii="Palatino Linotype" w:hAnsi="Palatino Linotype"/>
          <w:sz w:val="24"/>
          <w:szCs w:val="24"/>
        </w:rPr>
        <w:t>apítulo de la primera sección (</w:t>
      </w:r>
      <w:r w:rsidR="00A35D27" w:rsidRPr="00171135">
        <w:rPr>
          <w:rFonts w:ascii="Palatino Linotype" w:hAnsi="Palatino Linotype"/>
          <w:i/>
          <w:sz w:val="24"/>
          <w:szCs w:val="24"/>
        </w:rPr>
        <w:t xml:space="preserve">Etapa preparatoria del </w:t>
      </w:r>
      <w:r w:rsidR="007E31DB" w:rsidRPr="00171135">
        <w:rPr>
          <w:rFonts w:ascii="Palatino Linotype" w:hAnsi="Palatino Linotype"/>
          <w:i/>
          <w:sz w:val="24"/>
          <w:szCs w:val="24"/>
        </w:rPr>
        <w:t xml:space="preserve">análisis fundamental del </w:t>
      </w:r>
      <w:proofErr w:type="spellStart"/>
      <w:r w:rsidR="007E31DB" w:rsidRPr="00171135">
        <w:rPr>
          <w:rFonts w:ascii="Palatino Linotype" w:hAnsi="Palatino Linotype"/>
          <w:i/>
          <w:sz w:val="24"/>
          <w:szCs w:val="24"/>
        </w:rPr>
        <w:t>Dasein</w:t>
      </w:r>
      <w:proofErr w:type="spellEnd"/>
      <w:r w:rsidR="00A35D27" w:rsidRPr="00171135">
        <w:rPr>
          <w:rFonts w:ascii="Palatino Linotype" w:hAnsi="Palatino Linotype"/>
          <w:sz w:val="24"/>
          <w:szCs w:val="24"/>
        </w:rPr>
        <w:t xml:space="preserve">). </w:t>
      </w:r>
      <w:r w:rsidR="008B7C73" w:rsidRPr="00171135">
        <w:rPr>
          <w:rFonts w:ascii="Palatino Linotype" w:hAnsi="Palatino Linotype"/>
          <w:sz w:val="24"/>
          <w:szCs w:val="24"/>
        </w:rPr>
        <w:t xml:space="preserve">Los capítulos segundo, tercero, cuarto, quinto y sexto de esta primera sección han quedado a cargo de las expertas manos de Roberto Rubio, Ramón Rodríguez, Francisco de Lara y Juan José García </w:t>
      </w:r>
      <w:proofErr w:type="spellStart"/>
      <w:r w:rsidR="008B7C73" w:rsidRPr="00171135">
        <w:rPr>
          <w:rFonts w:ascii="Palatino Linotype" w:hAnsi="Palatino Linotype"/>
          <w:sz w:val="24"/>
          <w:szCs w:val="24"/>
        </w:rPr>
        <w:t>Norro</w:t>
      </w:r>
      <w:proofErr w:type="spellEnd"/>
      <w:r w:rsidR="008B7C73" w:rsidRPr="00171135">
        <w:rPr>
          <w:rFonts w:ascii="Palatino Linotype" w:hAnsi="Palatino Linotype"/>
          <w:sz w:val="24"/>
          <w:szCs w:val="24"/>
        </w:rPr>
        <w:t xml:space="preserve">, respectivamente. </w:t>
      </w:r>
      <w:r w:rsidR="00F44EC5" w:rsidRPr="00171135">
        <w:rPr>
          <w:rFonts w:ascii="Palatino Linotype" w:hAnsi="Palatino Linotype"/>
          <w:sz w:val="24"/>
          <w:szCs w:val="24"/>
        </w:rPr>
        <w:t>Tal como se mencionó más arriba, el comentario agrega un capítulo extra (</w:t>
      </w:r>
      <w:r w:rsidR="00BF0136" w:rsidRPr="00171135">
        <w:rPr>
          <w:rFonts w:ascii="Palatino Linotype" w:hAnsi="Palatino Linotype"/>
          <w:sz w:val="24"/>
          <w:szCs w:val="24"/>
        </w:rPr>
        <w:t>el noveno</w:t>
      </w:r>
      <w:r w:rsidR="00F44EC5" w:rsidRPr="00171135">
        <w:rPr>
          <w:rFonts w:ascii="Palatino Linotype" w:hAnsi="Palatino Linotype"/>
          <w:sz w:val="24"/>
          <w:szCs w:val="24"/>
        </w:rPr>
        <w:t xml:space="preserve"> </w:t>
      </w:r>
      <w:r w:rsidR="00AB733C" w:rsidRPr="00171135">
        <w:rPr>
          <w:rFonts w:ascii="Palatino Linotype" w:hAnsi="Palatino Linotype"/>
          <w:sz w:val="24"/>
          <w:szCs w:val="24"/>
        </w:rPr>
        <w:t>en el índice del</w:t>
      </w:r>
      <w:r w:rsidR="00F44EC5" w:rsidRPr="00171135">
        <w:rPr>
          <w:rFonts w:ascii="Palatino Linotype" w:hAnsi="Palatino Linotype"/>
          <w:sz w:val="24"/>
          <w:szCs w:val="24"/>
        </w:rPr>
        <w:t xml:space="preserve"> texto), el cual </w:t>
      </w:r>
      <w:r w:rsidR="001C1E66" w:rsidRPr="00171135">
        <w:rPr>
          <w:rFonts w:ascii="Palatino Linotype" w:hAnsi="Palatino Linotype"/>
          <w:sz w:val="24"/>
          <w:szCs w:val="24"/>
        </w:rPr>
        <w:t>h</w:t>
      </w:r>
      <w:r w:rsidR="00F44EC5" w:rsidRPr="00171135">
        <w:rPr>
          <w:rFonts w:ascii="Palatino Linotype" w:hAnsi="Palatino Linotype"/>
          <w:sz w:val="24"/>
          <w:szCs w:val="24"/>
        </w:rPr>
        <w:t xml:space="preserve">a quedado a cargo de </w:t>
      </w:r>
      <w:r w:rsidR="005E3F5A" w:rsidRPr="00171135">
        <w:rPr>
          <w:rFonts w:ascii="Palatino Linotype" w:hAnsi="Palatino Linotype"/>
          <w:sz w:val="24"/>
          <w:szCs w:val="24"/>
        </w:rPr>
        <w:t>Alejandro Vigo</w:t>
      </w:r>
      <w:r w:rsidR="002C7F04" w:rsidRPr="00171135">
        <w:rPr>
          <w:rFonts w:ascii="Palatino Linotype" w:hAnsi="Palatino Linotype"/>
          <w:sz w:val="24"/>
          <w:szCs w:val="24"/>
        </w:rPr>
        <w:t xml:space="preserve">, </w:t>
      </w:r>
      <w:r w:rsidRPr="00171135">
        <w:rPr>
          <w:rFonts w:ascii="Palatino Linotype" w:hAnsi="Palatino Linotype"/>
          <w:sz w:val="24"/>
          <w:szCs w:val="24"/>
        </w:rPr>
        <w:t>defensor de una</w:t>
      </w:r>
      <w:r w:rsidR="002C7F04" w:rsidRPr="00171135">
        <w:rPr>
          <w:rFonts w:ascii="Palatino Linotype" w:hAnsi="Palatino Linotype"/>
          <w:sz w:val="24"/>
          <w:szCs w:val="24"/>
        </w:rPr>
        <w:t xml:space="preserve"> de las tesis interpretativas más sistemáticas del pensamiento de Heidegger a la altura de ST</w:t>
      </w:r>
      <w:r w:rsidR="005E3F5A" w:rsidRPr="00171135">
        <w:rPr>
          <w:rFonts w:ascii="Palatino Linotype" w:hAnsi="Palatino Linotype"/>
          <w:sz w:val="24"/>
          <w:szCs w:val="24"/>
        </w:rPr>
        <w:t>.</w:t>
      </w:r>
      <w:r w:rsidR="00B779B0">
        <w:rPr>
          <w:rStyle w:val="Refdenotaalpie"/>
          <w:rFonts w:ascii="Palatino Linotype" w:hAnsi="Palatino Linotype"/>
          <w:sz w:val="24"/>
          <w:szCs w:val="24"/>
        </w:rPr>
        <w:footnoteReference w:id="2"/>
      </w:r>
      <w:r w:rsidR="005E3F5A" w:rsidRPr="00171135">
        <w:rPr>
          <w:rFonts w:ascii="Palatino Linotype" w:hAnsi="Palatino Linotype"/>
          <w:sz w:val="24"/>
          <w:szCs w:val="24"/>
        </w:rPr>
        <w:t xml:space="preserve"> </w:t>
      </w:r>
      <w:r w:rsidR="00B642F8" w:rsidRPr="00171135">
        <w:rPr>
          <w:rFonts w:ascii="Palatino Linotype" w:hAnsi="Palatino Linotype"/>
          <w:sz w:val="24"/>
          <w:szCs w:val="24"/>
        </w:rPr>
        <w:t xml:space="preserve">Este capítulo del comentario es decisivo si se lo mira en conformidad con los propios compromisos metodológicos que se exponen en la Introducción de esta empresa colectiva, pues está </w:t>
      </w:r>
      <w:r w:rsidR="00F44EC5" w:rsidRPr="00171135">
        <w:rPr>
          <w:rFonts w:ascii="Palatino Linotype" w:hAnsi="Palatino Linotype"/>
          <w:sz w:val="24"/>
          <w:szCs w:val="24"/>
        </w:rPr>
        <w:t>“dedicado a recapitular el marco metódico y sistemático en que se inscribe [la obra]” (p.12).</w:t>
      </w:r>
      <w:r w:rsidR="00293F8A" w:rsidRPr="00171135">
        <w:rPr>
          <w:rFonts w:ascii="Palatino Linotype" w:hAnsi="Palatino Linotype"/>
          <w:sz w:val="24"/>
          <w:szCs w:val="24"/>
        </w:rPr>
        <w:t xml:space="preserve"> </w:t>
      </w:r>
      <w:r w:rsidR="00BF0136" w:rsidRPr="00171135">
        <w:rPr>
          <w:rFonts w:ascii="Palatino Linotype" w:hAnsi="Palatino Linotype"/>
          <w:sz w:val="24"/>
          <w:szCs w:val="24"/>
        </w:rPr>
        <w:t>La presencia de este</w:t>
      </w:r>
      <w:r w:rsidR="007E31DB" w:rsidRPr="00171135">
        <w:rPr>
          <w:rFonts w:ascii="Palatino Linotype" w:hAnsi="Palatino Linotype"/>
          <w:sz w:val="24"/>
          <w:szCs w:val="24"/>
        </w:rPr>
        <w:t xml:space="preserve"> capítulo </w:t>
      </w:r>
      <w:r w:rsidR="00BF0136" w:rsidRPr="00171135">
        <w:rPr>
          <w:rFonts w:ascii="Palatino Linotype" w:hAnsi="Palatino Linotype"/>
          <w:sz w:val="24"/>
          <w:szCs w:val="24"/>
        </w:rPr>
        <w:t>noveno</w:t>
      </w:r>
      <w:r w:rsidR="007E31DB" w:rsidRPr="00171135">
        <w:rPr>
          <w:rFonts w:ascii="Palatino Linotype" w:hAnsi="Palatino Linotype"/>
          <w:sz w:val="24"/>
          <w:szCs w:val="24"/>
        </w:rPr>
        <w:t xml:space="preserve"> tiene su razón de ser</w:t>
      </w:r>
      <w:r w:rsidR="003B090D" w:rsidRPr="00171135">
        <w:rPr>
          <w:rFonts w:ascii="Palatino Linotype" w:hAnsi="Palatino Linotype"/>
          <w:sz w:val="24"/>
          <w:szCs w:val="24"/>
        </w:rPr>
        <w:t xml:space="preserve"> en</w:t>
      </w:r>
      <w:r w:rsidR="007E31DB" w:rsidRPr="00171135">
        <w:rPr>
          <w:rFonts w:ascii="Palatino Linotype" w:hAnsi="Palatino Linotype"/>
          <w:sz w:val="24"/>
          <w:szCs w:val="24"/>
        </w:rPr>
        <w:t xml:space="preserve"> la sólida decisión hermenéutica que ha hecho suya este comentario en sus líneas metódicas básicas. Ahora bien, la segunda sección de ST  (</w:t>
      </w:r>
      <w:proofErr w:type="spellStart"/>
      <w:r w:rsidR="007E31DB" w:rsidRPr="00171135">
        <w:rPr>
          <w:rFonts w:ascii="Palatino Linotype" w:hAnsi="Palatino Linotype"/>
          <w:i/>
          <w:sz w:val="24"/>
          <w:szCs w:val="24"/>
        </w:rPr>
        <w:t>Dasein</w:t>
      </w:r>
      <w:proofErr w:type="spellEnd"/>
      <w:r w:rsidR="007E31DB" w:rsidRPr="00171135">
        <w:rPr>
          <w:rFonts w:ascii="Palatino Linotype" w:hAnsi="Palatino Linotype"/>
          <w:i/>
          <w:sz w:val="24"/>
          <w:szCs w:val="24"/>
        </w:rPr>
        <w:t xml:space="preserve"> y Temporalidad) </w:t>
      </w:r>
      <w:r w:rsidR="002C7F04" w:rsidRPr="00171135">
        <w:rPr>
          <w:rFonts w:ascii="Palatino Linotype" w:hAnsi="Palatino Linotype"/>
          <w:sz w:val="24"/>
          <w:szCs w:val="24"/>
        </w:rPr>
        <w:t xml:space="preserve">es </w:t>
      </w:r>
      <w:r w:rsidR="007E31DB" w:rsidRPr="00171135">
        <w:rPr>
          <w:rFonts w:ascii="Palatino Linotype" w:hAnsi="Palatino Linotype"/>
          <w:sz w:val="24"/>
          <w:szCs w:val="24"/>
        </w:rPr>
        <w:t xml:space="preserve">analizada por Alejandro Vigo (quien comenta el capítulo primero y segundo de esta obra), nuevamente por Ramón Rodríguez (a cargo del capítulo tercero de esta sección), </w:t>
      </w:r>
      <w:r w:rsidR="002C7F04" w:rsidRPr="00171135">
        <w:rPr>
          <w:rFonts w:ascii="Palatino Linotype" w:hAnsi="Palatino Linotype"/>
          <w:sz w:val="24"/>
          <w:szCs w:val="24"/>
        </w:rPr>
        <w:t xml:space="preserve">por </w:t>
      </w:r>
      <w:r w:rsidR="007E31DB" w:rsidRPr="00171135">
        <w:rPr>
          <w:rFonts w:ascii="Palatino Linotype" w:hAnsi="Palatino Linotype"/>
          <w:sz w:val="24"/>
          <w:szCs w:val="24"/>
        </w:rPr>
        <w:t>Carlos Di Silvestre (quien examina el capítulo cuarto) y</w:t>
      </w:r>
      <w:r w:rsidR="002C7F04" w:rsidRPr="00171135">
        <w:rPr>
          <w:rFonts w:ascii="Palatino Linotype" w:hAnsi="Palatino Linotype"/>
          <w:sz w:val="24"/>
          <w:szCs w:val="24"/>
        </w:rPr>
        <w:t xml:space="preserve"> por</w:t>
      </w:r>
      <w:r w:rsidR="007E31DB" w:rsidRPr="00171135">
        <w:rPr>
          <w:rFonts w:ascii="Palatino Linotype" w:hAnsi="Palatino Linotype"/>
          <w:sz w:val="24"/>
          <w:szCs w:val="24"/>
        </w:rPr>
        <w:t xml:space="preserve"> </w:t>
      </w:r>
      <w:r w:rsidR="002C7F04" w:rsidRPr="00171135">
        <w:rPr>
          <w:rFonts w:ascii="Palatino Linotype" w:hAnsi="Palatino Linotype"/>
          <w:sz w:val="24"/>
          <w:szCs w:val="24"/>
        </w:rPr>
        <w:t xml:space="preserve">Roberto </w:t>
      </w:r>
      <w:proofErr w:type="spellStart"/>
      <w:r w:rsidR="002C7F04" w:rsidRPr="00171135">
        <w:rPr>
          <w:rFonts w:ascii="Palatino Linotype" w:hAnsi="Palatino Linotype"/>
          <w:sz w:val="24"/>
          <w:szCs w:val="24"/>
        </w:rPr>
        <w:t>Walton</w:t>
      </w:r>
      <w:proofErr w:type="spellEnd"/>
      <w:r w:rsidR="002C7F04" w:rsidRPr="00171135">
        <w:rPr>
          <w:rFonts w:ascii="Palatino Linotype" w:hAnsi="Palatino Linotype"/>
          <w:sz w:val="24"/>
          <w:szCs w:val="24"/>
        </w:rPr>
        <w:t>, eminencia</w:t>
      </w:r>
      <w:r w:rsidR="007E31DB" w:rsidRPr="00171135">
        <w:rPr>
          <w:rFonts w:ascii="Palatino Linotype" w:hAnsi="Palatino Linotype"/>
          <w:sz w:val="24"/>
          <w:szCs w:val="24"/>
        </w:rPr>
        <w:t xml:space="preserve"> </w:t>
      </w:r>
      <w:r w:rsidR="002C7F04" w:rsidRPr="00171135">
        <w:rPr>
          <w:rFonts w:ascii="Palatino Linotype" w:hAnsi="Palatino Linotype"/>
          <w:sz w:val="24"/>
          <w:szCs w:val="24"/>
        </w:rPr>
        <w:t xml:space="preserve">en la fenomenología en general y en la filosofía </w:t>
      </w:r>
      <w:proofErr w:type="spellStart"/>
      <w:r w:rsidR="002C7F04" w:rsidRPr="00171135">
        <w:rPr>
          <w:rFonts w:ascii="Palatino Linotype" w:hAnsi="Palatino Linotype"/>
          <w:sz w:val="24"/>
          <w:szCs w:val="24"/>
        </w:rPr>
        <w:t>husserliana</w:t>
      </w:r>
      <w:proofErr w:type="spellEnd"/>
      <w:r w:rsidR="002C7F04" w:rsidRPr="00171135">
        <w:rPr>
          <w:rFonts w:ascii="Palatino Linotype" w:hAnsi="Palatino Linotype"/>
          <w:sz w:val="24"/>
          <w:szCs w:val="24"/>
        </w:rPr>
        <w:t xml:space="preserve"> en específico (quien comenta los dos últimos capítulos de la obra).</w:t>
      </w:r>
    </w:p>
    <w:p w:rsidR="00D50965" w:rsidRPr="00171135" w:rsidRDefault="005B6C21" w:rsidP="00171135">
      <w:pPr>
        <w:spacing w:line="240" w:lineRule="auto"/>
        <w:ind w:firstLine="709"/>
        <w:jc w:val="both"/>
        <w:rPr>
          <w:rFonts w:ascii="Palatino Linotype" w:hAnsi="Palatino Linotype"/>
          <w:sz w:val="24"/>
          <w:szCs w:val="24"/>
        </w:rPr>
      </w:pPr>
      <w:r w:rsidRPr="00171135">
        <w:rPr>
          <w:rFonts w:ascii="Palatino Linotype" w:hAnsi="Palatino Linotype"/>
          <w:sz w:val="24"/>
          <w:szCs w:val="24"/>
        </w:rPr>
        <w:t xml:space="preserve">Como es evidente, no podré aquí entrar en un análisis de cada uno de los comentarios que reúne este libro. Sin embargo, ellos exhiben, en términos generales, ciertos rasgos comunes en que </w:t>
      </w:r>
      <w:r w:rsidR="00772AC7" w:rsidRPr="00171135">
        <w:rPr>
          <w:rFonts w:ascii="Palatino Linotype" w:hAnsi="Palatino Linotype"/>
          <w:sz w:val="24"/>
          <w:szCs w:val="24"/>
        </w:rPr>
        <w:t xml:space="preserve">se </w:t>
      </w:r>
      <w:r w:rsidRPr="00171135">
        <w:rPr>
          <w:rFonts w:ascii="Palatino Linotype" w:hAnsi="Palatino Linotype"/>
          <w:sz w:val="24"/>
          <w:szCs w:val="24"/>
        </w:rPr>
        <w:t xml:space="preserve">hace </w:t>
      </w:r>
      <w:r w:rsidR="003B090D" w:rsidRPr="00171135">
        <w:rPr>
          <w:rFonts w:ascii="Palatino Linotype" w:hAnsi="Palatino Linotype"/>
          <w:sz w:val="24"/>
          <w:szCs w:val="24"/>
        </w:rPr>
        <w:t xml:space="preserve">ostensible </w:t>
      </w:r>
      <w:r w:rsidRPr="00171135">
        <w:rPr>
          <w:rFonts w:ascii="Palatino Linotype" w:hAnsi="Palatino Linotype"/>
          <w:sz w:val="24"/>
          <w:szCs w:val="24"/>
        </w:rPr>
        <w:t xml:space="preserve"> el grado de seriedad y solidez </w:t>
      </w:r>
      <w:r w:rsidR="00772AC7" w:rsidRPr="00171135">
        <w:rPr>
          <w:rFonts w:ascii="Palatino Linotype" w:hAnsi="Palatino Linotype"/>
          <w:sz w:val="24"/>
          <w:szCs w:val="24"/>
        </w:rPr>
        <w:t>que ha</w:t>
      </w:r>
      <w:r w:rsidRPr="00171135">
        <w:rPr>
          <w:rFonts w:ascii="Palatino Linotype" w:hAnsi="Palatino Linotype"/>
          <w:sz w:val="24"/>
          <w:szCs w:val="24"/>
        </w:rPr>
        <w:t xml:space="preserve"> alcanzado la investigación sobre este pensador en </w:t>
      </w:r>
      <w:r w:rsidR="00542CEA" w:rsidRPr="00171135">
        <w:rPr>
          <w:rFonts w:ascii="Palatino Linotype" w:hAnsi="Palatino Linotype"/>
          <w:sz w:val="24"/>
          <w:szCs w:val="24"/>
        </w:rPr>
        <w:t>la</w:t>
      </w:r>
      <w:r w:rsidRPr="00171135">
        <w:rPr>
          <w:rFonts w:ascii="Palatino Linotype" w:hAnsi="Palatino Linotype"/>
          <w:sz w:val="24"/>
          <w:szCs w:val="24"/>
        </w:rPr>
        <w:t xml:space="preserve"> larga tradición de </w:t>
      </w:r>
      <w:r w:rsidR="00542CEA" w:rsidRPr="00171135">
        <w:rPr>
          <w:rFonts w:ascii="Palatino Linotype" w:hAnsi="Palatino Linotype"/>
          <w:sz w:val="24"/>
          <w:szCs w:val="24"/>
        </w:rPr>
        <w:t>su estudio</w:t>
      </w:r>
      <w:r w:rsidRPr="00171135">
        <w:rPr>
          <w:rFonts w:ascii="Palatino Linotype" w:hAnsi="Palatino Linotype"/>
          <w:sz w:val="24"/>
          <w:szCs w:val="24"/>
        </w:rPr>
        <w:t xml:space="preserve"> dentro de la</w:t>
      </w:r>
      <w:r w:rsidR="007B23FA" w:rsidRPr="00171135">
        <w:rPr>
          <w:rFonts w:ascii="Palatino Linotype" w:hAnsi="Palatino Linotype"/>
          <w:sz w:val="24"/>
          <w:szCs w:val="24"/>
        </w:rPr>
        <w:t xml:space="preserve"> lengua española (recuérdese tan</w:t>
      </w:r>
      <w:r w:rsidRPr="00171135">
        <w:rPr>
          <w:rFonts w:ascii="Palatino Linotype" w:hAnsi="Palatino Linotype"/>
          <w:sz w:val="24"/>
          <w:szCs w:val="24"/>
        </w:rPr>
        <w:t xml:space="preserve"> sólo </w:t>
      </w:r>
      <w:r w:rsidR="00772AC7" w:rsidRPr="00171135">
        <w:rPr>
          <w:rFonts w:ascii="Palatino Linotype" w:hAnsi="Palatino Linotype"/>
          <w:sz w:val="24"/>
          <w:szCs w:val="24"/>
        </w:rPr>
        <w:t xml:space="preserve">que la traducción de José </w:t>
      </w:r>
      <w:proofErr w:type="spellStart"/>
      <w:r w:rsidR="00772AC7" w:rsidRPr="00171135">
        <w:rPr>
          <w:rFonts w:ascii="Palatino Linotype" w:hAnsi="Palatino Linotype"/>
          <w:sz w:val="24"/>
          <w:szCs w:val="24"/>
        </w:rPr>
        <w:t>Gaos</w:t>
      </w:r>
      <w:proofErr w:type="spellEnd"/>
      <w:r w:rsidR="00772AC7" w:rsidRPr="00171135">
        <w:rPr>
          <w:rFonts w:ascii="Palatino Linotype" w:hAnsi="Palatino Linotype"/>
          <w:sz w:val="24"/>
          <w:szCs w:val="24"/>
        </w:rPr>
        <w:t xml:space="preserve"> data del año 1951). </w:t>
      </w:r>
      <w:r w:rsidR="00567E1E" w:rsidRPr="00171135">
        <w:rPr>
          <w:rFonts w:ascii="Palatino Linotype" w:hAnsi="Palatino Linotype"/>
          <w:sz w:val="24"/>
          <w:szCs w:val="24"/>
        </w:rPr>
        <w:t>T</w:t>
      </w:r>
      <w:r w:rsidR="007B23FA" w:rsidRPr="00171135">
        <w:rPr>
          <w:rFonts w:ascii="Palatino Linotype" w:hAnsi="Palatino Linotype"/>
          <w:sz w:val="24"/>
          <w:szCs w:val="24"/>
        </w:rPr>
        <w:t xml:space="preserve">odos los comentarios </w:t>
      </w:r>
      <w:r w:rsidR="005F117B" w:rsidRPr="00171135">
        <w:rPr>
          <w:rFonts w:ascii="Palatino Linotype" w:hAnsi="Palatino Linotype"/>
          <w:sz w:val="24"/>
          <w:szCs w:val="24"/>
        </w:rPr>
        <w:t>reconstruyen las principales líneas argumentales de los capítulos de forma ordenada,</w:t>
      </w:r>
      <w:r w:rsidR="007B23FA" w:rsidRPr="00171135">
        <w:rPr>
          <w:rFonts w:ascii="Palatino Linotype" w:hAnsi="Palatino Linotype"/>
          <w:sz w:val="24"/>
          <w:szCs w:val="24"/>
        </w:rPr>
        <w:t xml:space="preserve"> </w:t>
      </w:r>
      <w:r w:rsidR="00B31058" w:rsidRPr="00171135">
        <w:rPr>
          <w:rFonts w:ascii="Palatino Linotype" w:hAnsi="Palatino Linotype"/>
          <w:sz w:val="24"/>
          <w:szCs w:val="24"/>
        </w:rPr>
        <w:t>clara y con un gran</w:t>
      </w:r>
      <w:r w:rsidR="005F117B" w:rsidRPr="00171135">
        <w:rPr>
          <w:rFonts w:ascii="Palatino Linotype" w:hAnsi="Palatino Linotype"/>
          <w:sz w:val="24"/>
          <w:szCs w:val="24"/>
        </w:rPr>
        <w:t xml:space="preserve"> apego al original, además de destacar y clarificar los conceptos principales del análisis de</w:t>
      </w:r>
      <w:r w:rsidR="00567E1E" w:rsidRPr="00171135">
        <w:rPr>
          <w:rFonts w:ascii="Palatino Linotype" w:hAnsi="Palatino Linotype"/>
          <w:sz w:val="24"/>
          <w:szCs w:val="24"/>
        </w:rPr>
        <w:t xml:space="preserve">l caso. </w:t>
      </w:r>
      <w:r w:rsidR="00B00303" w:rsidRPr="00171135">
        <w:rPr>
          <w:rFonts w:ascii="Palatino Linotype" w:hAnsi="Palatino Linotype"/>
          <w:sz w:val="24"/>
          <w:szCs w:val="24"/>
        </w:rPr>
        <w:t xml:space="preserve">Asimismo, cada comentario </w:t>
      </w:r>
      <w:r w:rsidR="00AD201B" w:rsidRPr="00171135">
        <w:rPr>
          <w:rFonts w:ascii="Palatino Linotype" w:hAnsi="Palatino Linotype"/>
          <w:sz w:val="24"/>
          <w:szCs w:val="24"/>
        </w:rPr>
        <w:t xml:space="preserve">contiene al final una </w:t>
      </w:r>
      <w:r w:rsidR="00DE474A" w:rsidRPr="00171135">
        <w:rPr>
          <w:rFonts w:ascii="Palatino Linotype" w:hAnsi="Palatino Linotype"/>
          <w:sz w:val="24"/>
          <w:szCs w:val="24"/>
        </w:rPr>
        <w:t>bibliografía bien acotada, actual y de gran pertinencia para quien se interese en seguir desarrollando aspectos puntuales del capítulo comentado. E</w:t>
      </w:r>
      <w:r w:rsidR="00567E1E" w:rsidRPr="00171135">
        <w:rPr>
          <w:rFonts w:ascii="Palatino Linotype" w:hAnsi="Palatino Linotype"/>
          <w:sz w:val="24"/>
          <w:szCs w:val="24"/>
        </w:rPr>
        <w:t>stos comentarios</w:t>
      </w:r>
      <w:r w:rsidR="00DE474A" w:rsidRPr="00171135">
        <w:rPr>
          <w:rFonts w:ascii="Palatino Linotype" w:hAnsi="Palatino Linotype"/>
          <w:sz w:val="24"/>
          <w:szCs w:val="24"/>
        </w:rPr>
        <w:t>, a su vez,</w:t>
      </w:r>
      <w:r w:rsidR="00567E1E" w:rsidRPr="00171135">
        <w:rPr>
          <w:rFonts w:ascii="Palatino Linotype" w:hAnsi="Palatino Linotype"/>
          <w:sz w:val="24"/>
          <w:szCs w:val="24"/>
        </w:rPr>
        <w:t xml:space="preserve"> se encargan de poner un especial énfasis en determinados problemas que afectan a una comprensión más íntima de lo que expone el filósofo </w:t>
      </w:r>
      <w:proofErr w:type="spellStart"/>
      <w:r w:rsidR="00567E1E" w:rsidRPr="00171135">
        <w:rPr>
          <w:rFonts w:ascii="Palatino Linotype" w:hAnsi="Palatino Linotype"/>
          <w:sz w:val="24"/>
          <w:szCs w:val="24"/>
        </w:rPr>
        <w:t>suabo</w:t>
      </w:r>
      <w:proofErr w:type="spellEnd"/>
      <w:r w:rsidR="00567E1E" w:rsidRPr="00171135">
        <w:rPr>
          <w:rFonts w:ascii="Palatino Linotype" w:hAnsi="Palatino Linotype"/>
          <w:sz w:val="24"/>
          <w:szCs w:val="24"/>
        </w:rPr>
        <w:t xml:space="preserve"> en el desarrollo de esta obra. </w:t>
      </w:r>
      <w:r w:rsidR="00FF0708" w:rsidRPr="00171135">
        <w:rPr>
          <w:rFonts w:ascii="Palatino Linotype" w:hAnsi="Palatino Linotype"/>
          <w:sz w:val="24"/>
          <w:szCs w:val="24"/>
        </w:rPr>
        <w:t>Así por ejempl</w:t>
      </w:r>
      <w:r w:rsidR="00B31058" w:rsidRPr="00171135">
        <w:rPr>
          <w:rFonts w:ascii="Palatino Linotype" w:hAnsi="Palatino Linotype"/>
          <w:sz w:val="24"/>
          <w:szCs w:val="24"/>
        </w:rPr>
        <w:t xml:space="preserve">o, </w:t>
      </w:r>
      <w:proofErr w:type="spellStart"/>
      <w:r w:rsidR="00B31058" w:rsidRPr="00171135">
        <w:rPr>
          <w:rFonts w:ascii="Palatino Linotype" w:hAnsi="Palatino Linotype"/>
          <w:sz w:val="24"/>
          <w:szCs w:val="24"/>
        </w:rPr>
        <w:t>Grondin</w:t>
      </w:r>
      <w:proofErr w:type="spellEnd"/>
      <w:r w:rsidR="00B31058" w:rsidRPr="00171135">
        <w:rPr>
          <w:rFonts w:ascii="Palatino Linotype" w:hAnsi="Palatino Linotype"/>
          <w:sz w:val="24"/>
          <w:szCs w:val="24"/>
        </w:rPr>
        <w:t xml:space="preserve"> indica</w:t>
      </w:r>
      <w:r w:rsidR="00FF0708" w:rsidRPr="00171135">
        <w:rPr>
          <w:rFonts w:ascii="Palatino Linotype" w:hAnsi="Palatino Linotype"/>
          <w:sz w:val="24"/>
          <w:szCs w:val="24"/>
        </w:rPr>
        <w:t xml:space="preserve"> </w:t>
      </w:r>
      <w:r w:rsidR="00B31058" w:rsidRPr="00171135">
        <w:rPr>
          <w:rFonts w:ascii="Palatino Linotype" w:hAnsi="Palatino Linotype"/>
          <w:sz w:val="24"/>
          <w:szCs w:val="24"/>
        </w:rPr>
        <w:t xml:space="preserve">lúcidamente </w:t>
      </w:r>
      <w:r w:rsidR="00FF0708" w:rsidRPr="00171135">
        <w:rPr>
          <w:rFonts w:ascii="Palatino Linotype" w:hAnsi="Palatino Linotype"/>
          <w:sz w:val="24"/>
          <w:szCs w:val="24"/>
        </w:rPr>
        <w:t xml:space="preserve">la dificultad de aunar la pregunta por el ser propio del </w:t>
      </w:r>
      <w:proofErr w:type="spellStart"/>
      <w:r w:rsidR="00FF0708" w:rsidRPr="00171135">
        <w:rPr>
          <w:rFonts w:ascii="Palatino Linotype" w:hAnsi="Palatino Linotype"/>
          <w:sz w:val="24"/>
          <w:szCs w:val="24"/>
        </w:rPr>
        <w:t>Dasein</w:t>
      </w:r>
      <w:proofErr w:type="spellEnd"/>
      <w:r w:rsidR="00FF0708" w:rsidRPr="00171135">
        <w:rPr>
          <w:rFonts w:ascii="Palatino Linotype" w:hAnsi="Palatino Linotype"/>
          <w:sz w:val="24"/>
          <w:szCs w:val="24"/>
        </w:rPr>
        <w:t xml:space="preserve"> y la pregunta más general por el sentido del ser (cf. p. 24), e intenta avanzar en una interpretación que dé cuenta de </w:t>
      </w:r>
      <w:r w:rsidR="00FF0708" w:rsidRPr="00171135">
        <w:rPr>
          <w:rFonts w:ascii="Palatino Linotype" w:hAnsi="Palatino Linotype"/>
          <w:sz w:val="24"/>
          <w:szCs w:val="24"/>
        </w:rPr>
        <w:lastRenderedPageBreak/>
        <w:t xml:space="preserve">esta dificultad y que sea consistente con lo expuesto por Heidegger. </w:t>
      </w:r>
      <w:r w:rsidR="00B67515" w:rsidRPr="00171135">
        <w:rPr>
          <w:rFonts w:ascii="Palatino Linotype" w:hAnsi="Palatino Linotype"/>
          <w:sz w:val="24"/>
          <w:szCs w:val="24"/>
        </w:rPr>
        <w:t xml:space="preserve">Por su parte, </w:t>
      </w:r>
      <w:proofErr w:type="spellStart"/>
      <w:r w:rsidR="00B67515" w:rsidRPr="00171135">
        <w:rPr>
          <w:rFonts w:ascii="Palatino Linotype" w:hAnsi="Palatino Linotype"/>
          <w:sz w:val="24"/>
          <w:szCs w:val="24"/>
        </w:rPr>
        <w:t>Jaran</w:t>
      </w:r>
      <w:proofErr w:type="spellEnd"/>
      <w:r w:rsidR="00B67515" w:rsidRPr="00171135">
        <w:rPr>
          <w:rFonts w:ascii="Palatino Linotype" w:hAnsi="Palatino Linotype"/>
          <w:sz w:val="24"/>
          <w:szCs w:val="24"/>
        </w:rPr>
        <w:t xml:space="preserve">, en el marco de la caracterización del método contenido en ST, destaca el giro ontológico que toma </w:t>
      </w:r>
      <w:r w:rsidR="00542CEA" w:rsidRPr="00171135">
        <w:rPr>
          <w:rFonts w:ascii="Palatino Linotype" w:hAnsi="Palatino Linotype"/>
          <w:sz w:val="24"/>
          <w:szCs w:val="24"/>
        </w:rPr>
        <w:t xml:space="preserve">la fenomenología </w:t>
      </w:r>
      <w:r w:rsidR="00B67515" w:rsidRPr="00171135">
        <w:rPr>
          <w:rFonts w:ascii="Palatino Linotype" w:hAnsi="Palatino Linotype"/>
          <w:sz w:val="24"/>
          <w:szCs w:val="24"/>
        </w:rPr>
        <w:t>en manos del filósofo, estableciéndose en ello el punto de diferencia con Husserl (cf. p.41;</w:t>
      </w:r>
      <w:r w:rsidR="00542CEA" w:rsidRPr="00171135">
        <w:rPr>
          <w:rFonts w:ascii="Palatino Linotype" w:hAnsi="Palatino Linotype"/>
          <w:sz w:val="24"/>
          <w:szCs w:val="24"/>
        </w:rPr>
        <w:t xml:space="preserve"> </w:t>
      </w:r>
      <w:r w:rsidR="00B67515" w:rsidRPr="00171135">
        <w:rPr>
          <w:rFonts w:ascii="Palatino Linotype" w:hAnsi="Palatino Linotype"/>
          <w:sz w:val="24"/>
          <w:szCs w:val="24"/>
        </w:rPr>
        <w:t xml:space="preserve">p.48). En su comentario a los parágrafos 14-24 de la obra, Rubio enfatiza, asumiendo una saludable distancia crítica, las dificultades para una adecuada comprensión del concepto de “mundo” en la exposición </w:t>
      </w:r>
      <w:r w:rsidR="00B758F3" w:rsidRPr="00171135">
        <w:rPr>
          <w:rFonts w:ascii="Palatino Linotype" w:hAnsi="Palatino Linotype"/>
          <w:sz w:val="24"/>
          <w:szCs w:val="24"/>
        </w:rPr>
        <w:t>que hace Heidegger</w:t>
      </w:r>
      <w:r w:rsidR="00542CEA" w:rsidRPr="00171135">
        <w:rPr>
          <w:rFonts w:ascii="Palatino Linotype" w:hAnsi="Palatino Linotype"/>
          <w:sz w:val="24"/>
          <w:szCs w:val="24"/>
        </w:rPr>
        <w:t xml:space="preserve"> (cf. p. 91)</w:t>
      </w:r>
      <w:r w:rsidR="00B758F3" w:rsidRPr="00171135">
        <w:rPr>
          <w:rFonts w:ascii="Palatino Linotype" w:hAnsi="Palatino Linotype"/>
          <w:sz w:val="24"/>
          <w:szCs w:val="24"/>
        </w:rPr>
        <w:t>.</w:t>
      </w:r>
      <w:r w:rsidR="00542CEA" w:rsidRPr="00171135">
        <w:rPr>
          <w:rFonts w:ascii="Palatino Linotype" w:hAnsi="Palatino Linotype"/>
          <w:sz w:val="24"/>
          <w:szCs w:val="24"/>
        </w:rPr>
        <w:t xml:space="preserve"> </w:t>
      </w:r>
      <w:r w:rsidR="00B31058" w:rsidRPr="00171135">
        <w:rPr>
          <w:rFonts w:ascii="Palatino Linotype" w:hAnsi="Palatino Linotype"/>
          <w:sz w:val="24"/>
          <w:szCs w:val="24"/>
        </w:rPr>
        <w:t>Francisco de Lara, e</w:t>
      </w:r>
      <w:r w:rsidR="00542CEA" w:rsidRPr="00171135">
        <w:rPr>
          <w:rFonts w:ascii="Palatino Linotype" w:hAnsi="Palatino Linotype"/>
          <w:sz w:val="24"/>
          <w:szCs w:val="24"/>
        </w:rPr>
        <w:t xml:space="preserve">l gran conocedor del pensamiento de Heidegger a la altura de sus lecciones juveniles en </w:t>
      </w:r>
      <w:proofErr w:type="spellStart"/>
      <w:r w:rsidR="00542CEA" w:rsidRPr="00171135">
        <w:rPr>
          <w:rFonts w:ascii="Palatino Linotype" w:hAnsi="Palatino Linotype"/>
          <w:sz w:val="24"/>
          <w:szCs w:val="24"/>
        </w:rPr>
        <w:t>Freiburg</w:t>
      </w:r>
      <w:proofErr w:type="spellEnd"/>
      <w:r w:rsidR="00542CEA" w:rsidRPr="00171135">
        <w:rPr>
          <w:rFonts w:ascii="Palatino Linotype" w:hAnsi="Palatino Linotype"/>
          <w:sz w:val="24"/>
          <w:szCs w:val="24"/>
        </w:rPr>
        <w:t xml:space="preserve">, expone muy claramente el núcleo del difícil concepto existencial del “comprender” (cf. p. 150-151) y, en general, los existenciales en que se articula el ser-en como tal. </w:t>
      </w:r>
      <w:proofErr w:type="spellStart"/>
      <w:r w:rsidR="00542CEA" w:rsidRPr="00171135">
        <w:rPr>
          <w:rFonts w:ascii="Palatino Linotype" w:hAnsi="Palatino Linotype"/>
          <w:sz w:val="24"/>
          <w:szCs w:val="24"/>
        </w:rPr>
        <w:t>Gracía</w:t>
      </w:r>
      <w:proofErr w:type="spellEnd"/>
      <w:r w:rsidR="00542CEA" w:rsidRPr="00171135">
        <w:rPr>
          <w:rFonts w:ascii="Palatino Linotype" w:hAnsi="Palatino Linotype"/>
          <w:sz w:val="24"/>
          <w:szCs w:val="24"/>
        </w:rPr>
        <w:t xml:space="preserve"> </w:t>
      </w:r>
      <w:proofErr w:type="spellStart"/>
      <w:r w:rsidR="00542CEA" w:rsidRPr="00171135">
        <w:rPr>
          <w:rFonts w:ascii="Palatino Linotype" w:hAnsi="Palatino Linotype"/>
          <w:sz w:val="24"/>
          <w:szCs w:val="24"/>
        </w:rPr>
        <w:t>Norro</w:t>
      </w:r>
      <w:proofErr w:type="spellEnd"/>
      <w:r w:rsidR="00542CEA" w:rsidRPr="00171135">
        <w:rPr>
          <w:rFonts w:ascii="Palatino Linotype" w:hAnsi="Palatino Linotype"/>
          <w:sz w:val="24"/>
          <w:szCs w:val="24"/>
        </w:rPr>
        <w:t xml:space="preserve">, en su comentario a los decisivos parágrafos 39-44, </w:t>
      </w:r>
      <w:r w:rsidR="0016536D" w:rsidRPr="00171135">
        <w:rPr>
          <w:rFonts w:ascii="Palatino Linotype" w:hAnsi="Palatino Linotype"/>
          <w:sz w:val="24"/>
          <w:szCs w:val="24"/>
        </w:rPr>
        <w:t>examina</w:t>
      </w:r>
      <w:r w:rsidR="00542CEA" w:rsidRPr="00171135">
        <w:rPr>
          <w:rFonts w:ascii="Palatino Linotype" w:hAnsi="Palatino Linotype"/>
          <w:sz w:val="24"/>
          <w:szCs w:val="24"/>
        </w:rPr>
        <w:t xml:space="preserve"> con gran solvencia la necesidad del tratamiento crítico-existencial de Heidegger de los conceptos de “realidad” y “verdad” </w:t>
      </w:r>
      <w:r w:rsidR="00F256CE" w:rsidRPr="00171135">
        <w:rPr>
          <w:rFonts w:ascii="Palatino Linotype" w:hAnsi="Palatino Linotype"/>
          <w:sz w:val="24"/>
          <w:szCs w:val="24"/>
        </w:rPr>
        <w:t>que permite</w:t>
      </w:r>
      <w:r w:rsidR="00542CEA" w:rsidRPr="00171135">
        <w:rPr>
          <w:rFonts w:ascii="Palatino Linotype" w:hAnsi="Palatino Linotype"/>
          <w:sz w:val="24"/>
          <w:szCs w:val="24"/>
        </w:rPr>
        <w:t xml:space="preserve"> </w:t>
      </w:r>
      <w:r w:rsidR="0016536D" w:rsidRPr="00171135">
        <w:rPr>
          <w:rFonts w:ascii="Palatino Linotype" w:hAnsi="Palatino Linotype"/>
          <w:sz w:val="24"/>
          <w:szCs w:val="24"/>
        </w:rPr>
        <w:t>establecer la conexión metódica de</w:t>
      </w:r>
      <w:r w:rsidR="00542CEA" w:rsidRPr="00171135">
        <w:rPr>
          <w:rFonts w:ascii="Palatino Linotype" w:hAnsi="Palatino Linotype"/>
          <w:sz w:val="24"/>
          <w:szCs w:val="24"/>
        </w:rPr>
        <w:t xml:space="preserve"> la analítica existencial </w:t>
      </w:r>
      <w:r w:rsidR="0016536D" w:rsidRPr="00171135">
        <w:rPr>
          <w:rFonts w:ascii="Palatino Linotype" w:hAnsi="Palatino Linotype"/>
          <w:sz w:val="24"/>
          <w:szCs w:val="24"/>
        </w:rPr>
        <w:t>y de</w:t>
      </w:r>
      <w:r w:rsidR="00542CEA" w:rsidRPr="00171135">
        <w:rPr>
          <w:rFonts w:ascii="Palatino Linotype" w:hAnsi="Palatino Linotype"/>
          <w:sz w:val="24"/>
          <w:szCs w:val="24"/>
        </w:rPr>
        <w:t xml:space="preserve"> la ontología fundamental</w:t>
      </w:r>
      <w:r w:rsidR="0016536D" w:rsidRPr="00171135">
        <w:rPr>
          <w:rFonts w:ascii="Palatino Linotype" w:hAnsi="Palatino Linotype"/>
          <w:sz w:val="24"/>
          <w:szCs w:val="24"/>
        </w:rPr>
        <w:t xml:space="preserve"> (cf. p. 182). Con una clara conciencia metódica de “los distintos planos de discurso que operan en ST” (p.351), Di Silvestre</w:t>
      </w:r>
      <w:r w:rsidR="00BF0136" w:rsidRPr="00171135">
        <w:rPr>
          <w:rFonts w:ascii="Palatino Linotype" w:hAnsi="Palatino Linotype"/>
          <w:sz w:val="24"/>
          <w:szCs w:val="24"/>
        </w:rPr>
        <w:t>,</w:t>
      </w:r>
      <w:r w:rsidR="0016536D" w:rsidRPr="00171135">
        <w:rPr>
          <w:rFonts w:ascii="Palatino Linotype" w:hAnsi="Palatino Linotype"/>
          <w:sz w:val="24"/>
          <w:szCs w:val="24"/>
        </w:rPr>
        <w:t xml:space="preserve"> en una clave marcadamente trascendental</w:t>
      </w:r>
      <w:r w:rsidR="00BF0136" w:rsidRPr="00171135">
        <w:rPr>
          <w:rFonts w:ascii="Palatino Linotype" w:hAnsi="Palatino Linotype"/>
          <w:sz w:val="24"/>
          <w:szCs w:val="24"/>
        </w:rPr>
        <w:t>,</w:t>
      </w:r>
      <w:r w:rsidR="0016536D" w:rsidRPr="00171135">
        <w:rPr>
          <w:rFonts w:ascii="Palatino Linotype" w:hAnsi="Palatino Linotype"/>
          <w:sz w:val="24"/>
          <w:szCs w:val="24"/>
        </w:rPr>
        <w:t xml:space="preserve"> recons</w:t>
      </w:r>
      <w:r w:rsidR="00D03F57" w:rsidRPr="00171135">
        <w:rPr>
          <w:rFonts w:ascii="Palatino Linotype" w:hAnsi="Palatino Linotype"/>
          <w:sz w:val="24"/>
          <w:szCs w:val="24"/>
        </w:rPr>
        <w:t xml:space="preserve">truye la intricada exposición heideggeriana acerca de la </w:t>
      </w:r>
      <w:proofErr w:type="spellStart"/>
      <w:r w:rsidR="00D03F57" w:rsidRPr="00171135">
        <w:rPr>
          <w:rFonts w:ascii="Palatino Linotype" w:hAnsi="Palatino Linotype"/>
          <w:sz w:val="24"/>
          <w:szCs w:val="24"/>
        </w:rPr>
        <w:t>temporeidad</w:t>
      </w:r>
      <w:proofErr w:type="spellEnd"/>
      <w:r w:rsidR="00D03F57" w:rsidRPr="00171135">
        <w:rPr>
          <w:rFonts w:ascii="Palatino Linotype" w:hAnsi="Palatino Linotype"/>
          <w:sz w:val="24"/>
          <w:szCs w:val="24"/>
        </w:rPr>
        <w:t xml:space="preserve"> (</w:t>
      </w:r>
      <w:proofErr w:type="spellStart"/>
      <w:r w:rsidR="00D03F57" w:rsidRPr="00171135">
        <w:rPr>
          <w:rFonts w:ascii="Palatino Linotype" w:hAnsi="Palatino Linotype"/>
          <w:i/>
          <w:sz w:val="24"/>
          <w:szCs w:val="24"/>
        </w:rPr>
        <w:t>Zeitlichkeit</w:t>
      </w:r>
      <w:proofErr w:type="spellEnd"/>
      <w:r w:rsidR="00D03F57" w:rsidRPr="00171135">
        <w:rPr>
          <w:rFonts w:ascii="Palatino Linotype" w:hAnsi="Palatino Linotype"/>
          <w:sz w:val="24"/>
          <w:szCs w:val="24"/>
        </w:rPr>
        <w:t>)</w:t>
      </w:r>
      <w:r w:rsidR="00BF0136" w:rsidRPr="00171135">
        <w:rPr>
          <w:rFonts w:ascii="Palatino Linotype" w:hAnsi="Palatino Linotype"/>
          <w:sz w:val="24"/>
          <w:szCs w:val="24"/>
        </w:rPr>
        <w:t xml:space="preserve"> como condición de posibilidad existencial</w:t>
      </w:r>
      <w:r w:rsidR="00170062" w:rsidRPr="00171135">
        <w:rPr>
          <w:rFonts w:ascii="Palatino Linotype" w:hAnsi="Palatino Linotype"/>
          <w:sz w:val="24"/>
          <w:szCs w:val="24"/>
        </w:rPr>
        <w:t>.</w:t>
      </w:r>
      <w:r w:rsidR="00BF0136" w:rsidRPr="00171135">
        <w:rPr>
          <w:rStyle w:val="Refdenotaalpie"/>
          <w:rFonts w:ascii="Palatino Linotype" w:hAnsi="Palatino Linotype"/>
          <w:sz w:val="24"/>
          <w:szCs w:val="24"/>
        </w:rPr>
        <w:t xml:space="preserve"> </w:t>
      </w:r>
      <w:r w:rsidR="00BF0136" w:rsidRPr="00171135">
        <w:rPr>
          <w:rStyle w:val="Refdenotaalpie"/>
          <w:rFonts w:ascii="Palatino Linotype" w:hAnsi="Palatino Linotype"/>
          <w:sz w:val="24"/>
          <w:szCs w:val="24"/>
        </w:rPr>
        <w:footnoteReference w:id="3"/>
      </w:r>
      <w:r w:rsidR="00170062" w:rsidRPr="00171135">
        <w:rPr>
          <w:rFonts w:ascii="Palatino Linotype" w:hAnsi="Palatino Linotype"/>
          <w:sz w:val="24"/>
          <w:szCs w:val="24"/>
        </w:rPr>
        <w:t xml:space="preserve"> </w:t>
      </w:r>
      <w:r w:rsidR="00BF0136" w:rsidRPr="00171135">
        <w:rPr>
          <w:rFonts w:ascii="Palatino Linotype" w:hAnsi="Palatino Linotype"/>
          <w:sz w:val="24"/>
          <w:szCs w:val="24"/>
        </w:rPr>
        <w:t>Asimismo, s</w:t>
      </w:r>
      <w:r w:rsidR="00170062" w:rsidRPr="00171135">
        <w:rPr>
          <w:rFonts w:ascii="Palatino Linotype" w:hAnsi="Palatino Linotype"/>
          <w:sz w:val="24"/>
          <w:szCs w:val="24"/>
        </w:rPr>
        <w:t xml:space="preserve">on especialmente sugerentes las indicaciones que el Roberto </w:t>
      </w:r>
      <w:proofErr w:type="spellStart"/>
      <w:r w:rsidR="00170062" w:rsidRPr="00171135">
        <w:rPr>
          <w:rFonts w:ascii="Palatino Linotype" w:hAnsi="Palatino Linotype"/>
          <w:sz w:val="24"/>
          <w:szCs w:val="24"/>
        </w:rPr>
        <w:t>Walton</w:t>
      </w:r>
      <w:proofErr w:type="spellEnd"/>
      <w:r w:rsidR="00170062" w:rsidRPr="00171135">
        <w:rPr>
          <w:rFonts w:ascii="Palatino Linotype" w:hAnsi="Palatino Linotype"/>
          <w:sz w:val="24"/>
          <w:szCs w:val="24"/>
        </w:rPr>
        <w:t xml:space="preserve"> hace</w:t>
      </w:r>
      <w:r w:rsidR="00270F1F" w:rsidRPr="00171135">
        <w:rPr>
          <w:rFonts w:ascii="Palatino Linotype" w:hAnsi="Palatino Linotype"/>
          <w:sz w:val="24"/>
          <w:szCs w:val="24"/>
        </w:rPr>
        <w:t xml:space="preserve"> en su comentario acerca de</w:t>
      </w:r>
      <w:r w:rsidR="00227D93" w:rsidRPr="00171135">
        <w:rPr>
          <w:rFonts w:ascii="Palatino Linotype" w:hAnsi="Palatino Linotype"/>
          <w:sz w:val="24"/>
          <w:szCs w:val="24"/>
        </w:rPr>
        <w:t xml:space="preserve"> </w:t>
      </w:r>
      <w:r w:rsidR="00270F1F" w:rsidRPr="00171135">
        <w:rPr>
          <w:rFonts w:ascii="Palatino Linotype" w:hAnsi="Palatino Linotype"/>
          <w:sz w:val="24"/>
          <w:szCs w:val="24"/>
        </w:rPr>
        <w:t>los últimos parágrafos de ST</w:t>
      </w:r>
      <w:r w:rsidR="00170062" w:rsidRPr="00171135">
        <w:rPr>
          <w:rFonts w:ascii="Palatino Linotype" w:hAnsi="Palatino Linotype"/>
          <w:sz w:val="24"/>
          <w:szCs w:val="24"/>
        </w:rPr>
        <w:t xml:space="preserve"> en relación a los paralelismos entre el concepto de </w:t>
      </w:r>
      <w:proofErr w:type="spellStart"/>
      <w:r w:rsidR="00170062" w:rsidRPr="00171135">
        <w:rPr>
          <w:rFonts w:ascii="Palatino Linotype" w:hAnsi="Palatino Linotype"/>
          <w:sz w:val="24"/>
          <w:szCs w:val="24"/>
        </w:rPr>
        <w:t>temporeidad</w:t>
      </w:r>
      <w:proofErr w:type="spellEnd"/>
      <w:r w:rsidR="00170062" w:rsidRPr="00171135">
        <w:rPr>
          <w:rFonts w:ascii="Palatino Linotype" w:hAnsi="Palatino Linotype"/>
          <w:sz w:val="24"/>
          <w:szCs w:val="24"/>
        </w:rPr>
        <w:t xml:space="preserve"> heideggeriano</w:t>
      </w:r>
      <w:r w:rsidR="00227D93" w:rsidRPr="00171135">
        <w:rPr>
          <w:rFonts w:ascii="Palatino Linotype" w:hAnsi="Palatino Linotype"/>
          <w:sz w:val="24"/>
          <w:szCs w:val="24"/>
        </w:rPr>
        <w:t xml:space="preserve"> y </w:t>
      </w:r>
      <w:r w:rsidR="00170062" w:rsidRPr="00171135">
        <w:rPr>
          <w:rFonts w:ascii="Palatino Linotype" w:hAnsi="Palatino Linotype"/>
          <w:sz w:val="24"/>
          <w:szCs w:val="24"/>
        </w:rPr>
        <w:t xml:space="preserve"> el concepto de tiempo en Husserl (cf. p. 309)</w:t>
      </w:r>
      <w:r w:rsidR="00270F1F" w:rsidRPr="00171135">
        <w:rPr>
          <w:rFonts w:ascii="Palatino Linotype" w:hAnsi="Palatino Linotype"/>
          <w:sz w:val="24"/>
          <w:szCs w:val="24"/>
        </w:rPr>
        <w:t>.</w:t>
      </w:r>
    </w:p>
    <w:p w:rsidR="00270F1F" w:rsidRPr="00171135" w:rsidRDefault="00267837" w:rsidP="00171135">
      <w:pPr>
        <w:spacing w:line="240" w:lineRule="auto"/>
        <w:ind w:firstLine="709"/>
        <w:jc w:val="both"/>
        <w:rPr>
          <w:rFonts w:ascii="Palatino Linotype" w:hAnsi="Palatino Linotype"/>
          <w:sz w:val="24"/>
          <w:szCs w:val="24"/>
        </w:rPr>
      </w:pPr>
      <w:r w:rsidRPr="00171135">
        <w:rPr>
          <w:rFonts w:ascii="Palatino Linotype" w:hAnsi="Palatino Linotype"/>
          <w:sz w:val="24"/>
          <w:szCs w:val="24"/>
        </w:rPr>
        <w:t xml:space="preserve">Sin embargo, como ya lo habíamos señalado más arriba, </w:t>
      </w:r>
      <w:r w:rsidR="008C376B" w:rsidRPr="00171135">
        <w:rPr>
          <w:rFonts w:ascii="Palatino Linotype" w:hAnsi="Palatino Linotype"/>
          <w:sz w:val="24"/>
          <w:szCs w:val="24"/>
        </w:rPr>
        <w:t>tal vez el aspecto más original de este comentario</w:t>
      </w:r>
      <w:r w:rsidR="00227D93" w:rsidRPr="00171135">
        <w:rPr>
          <w:rFonts w:ascii="Palatino Linotype" w:hAnsi="Palatino Linotype"/>
          <w:sz w:val="24"/>
          <w:szCs w:val="24"/>
        </w:rPr>
        <w:t>,</w:t>
      </w:r>
      <w:r w:rsidR="008C376B" w:rsidRPr="00171135">
        <w:rPr>
          <w:rFonts w:ascii="Palatino Linotype" w:hAnsi="Palatino Linotype"/>
          <w:sz w:val="24"/>
          <w:szCs w:val="24"/>
        </w:rPr>
        <w:t xml:space="preserve"> tomado </w:t>
      </w:r>
      <w:r w:rsidR="00227D93" w:rsidRPr="00171135">
        <w:rPr>
          <w:rFonts w:ascii="Palatino Linotype" w:hAnsi="Palatino Linotype"/>
          <w:sz w:val="24"/>
          <w:szCs w:val="24"/>
        </w:rPr>
        <w:t>en su integridad</w:t>
      </w:r>
      <w:r w:rsidR="00F256CE" w:rsidRPr="00171135">
        <w:rPr>
          <w:rFonts w:ascii="Palatino Linotype" w:hAnsi="Palatino Linotype"/>
          <w:sz w:val="24"/>
          <w:szCs w:val="24"/>
        </w:rPr>
        <w:t>,</w:t>
      </w:r>
      <w:r w:rsidR="008C376B" w:rsidRPr="00171135">
        <w:rPr>
          <w:rFonts w:ascii="Palatino Linotype" w:hAnsi="Palatino Linotype"/>
          <w:sz w:val="24"/>
          <w:szCs w:val="24"/>
        </w:rPr>
        <w:t xml:space="preserve"> </w:t>
      </w:r>
      <w:r w:rsidR="00227D93" w:rsidRPr="00171135">
        <w:rPr>
          <w:rFonts w:ascii="Palatino Linotype" w:hAnsi="Palatino Linotype"/>
          <w:sz w:val="24"/>
          <w:szCs w:val="24"/>
        </w:rPr>
        <w:t>es</w:t>
      </w:r>
      <w:r w:rsidR="008C376B" w:rsidRPr="00171135">
        <w:rPr>
          <w:rFonts w:ascii="Palatino Linotype" w:hAnsi="Palatino Linotype"/>
          <w:sz w:val="24"/>
          <w:szCs w:val="24"/>
        </w:rPr>
        <w:t xml:space="preserve"> la decisión metódica </w:t>
      </w:r>
      <w:r w:rsidR="00F256CE" w:rsidRPr="00171135">
        <w:rPr>
          <w:rFonts w:ascii="Palatino Linotype" w:hAnsi="Palatino Linotype"/>
          <w:sz w:val="24"/>
          <w:szCs w:val="24"/>
        </w:rPr>
        <w:t xml:space="preserve">que </w:t>
      </w:r>
      <w:r w:rsidR="00227D93" w:rsidRPr="00171135">
        <w:rPr>
          <w:rFonts w:ascii="Palatino Linotype" w:hAnsi="Palatino Linotype"/>
          <w:sz w:val="24"/>
          <w:szCs w:val="24"/>
        </w:rPr>
        <w:t>asume</w:t>
      </w:r>
      <w:r w:rsidR="00F256CE" w:rsidRPr="00171135">
        <w:rPr>
          <w:rFonts w:ascii="Palatino Linotype" w:hAnsi="Palatino Linotype"/>
          <w:sz w:val="24"/>
          <w:szCs w:val="24"/>
        </w:rPr>
        <w:t xml:space="preserve"> </w:t>
      </w:r>
      <w:r w:rsidR="008C376B" w:rsidRPr="00171135">
        <w:rPr>
          <w:rFonts w:ascii="Palatino Linotype" w:hAnsi="Palatino Linotype"/>
          <w:sz w:val="24"/>
          <w:szCs w:val="24"/>
        </w:rPr>
        <w:t xml:space="preserve">de constituirse </w:t>
      </w:r>
      <w:r w:rsidR="00F256CE" w:rsidRPr="00171135">
        <w:rPr>
          <w:rFonts w:ascii="Palatino Linotype" w:hAnsi="Palatino Linotype"/>
          <w:sz w:val="24"/>
          <w:szCs w:val="24"/>
        </w:rPr>
        <w:t>como</w:t>
      </w:r>
      <w:r w:rsidR="008C376B" w:rsidRPr="00171135">
        <w:rPr>
          <w:rFonts w:ascii="Palatino Linotype" w:hAnsi="Palatino Linotype"/>
          <w:sz w:val="24"/>
          <w:szCs w:val="24"/>
        </w:rPr>
        <w:t xml:space="preserve"> un comentario fenomenológico. En palabras de su coordinador, este comentario presta “una espec</w:t>
      </w:r>
      <w:r w:rsidR="00B31058" w:rsidRPr="00171135">
        <w:rPr>
          <w:rFonts w:ascii="Palatino Linotype" w:hAnsi="Palatino Linotype"/>
          <w:sz w:val="24"/>
          <w:szCs w:val="24"/>
        </w:rPr>
        <w:t>ífica atención a la conexión temática</w:t>
      </w:r>
      <w:r w:rsidR="008C376B" w:rsidRPr="00171135">
        <w:rPr>
          <w:rFonts w:ascii="Palatino Linotype" w:hAnsi="Palatino Linotype"/>
          <w:sz w:val="24"/>
          <w:szCs w:val="24"/>
        </w:rPr>
        <w:t>-metódica- sistemática” (</w:t>
      </w:r>
      <w:r w:rsidR="00F256CE" w:rsidRPr="00171135">
        <w:rPr>
          <w:rFonts w:ascii="Palatino Linotype" w:hAnsi="Palatino Linotype"/>
          <w:sz w:val="24"/>
          <w:szCs w:val="24"/>
        </w:rPr>
        <w:t>p.</w:t>
      </w:r>
      <w:r w:rsidR="008C376B" w:rsidRPr="00171135">
        <w:rPr>
          <w:rFonts w:ascii="Palatino Linotype" w:hAnsi="Palatino Linotype"/>
          <w:sz w:val="24"/>
          <w:szCs w:val="24"/>
        </w:rPr>
        <w:t xml:space="preserve">12). El comentario contiene un compromiso temático en la medida en que es prioritario que él  “muestre la experiencia concreta que está siendo analizada y que es la instancia primaria que justifica las </w:t>
      </w:r>
      <w:r w:rsidR="00F256CE" w:rsidRPr="00171135">
        <w:rPr>
          <w:rFonts w:ascii="Palatino Linotype" w:hAnsi="Palatino Linotype"/>
          <w:sz w:val="24"/>
          <w:szCs w:val="24"/>
        </w:rPr>
        <w:t xml:space="preserve">afirmaciones y tesis que el autor propone  (p.11). </w:t>
      </w:r>
      <w:r w:rsidR="00BF0136" w:rsidRPr="00171135">
        <w:rPr>
          <w:rFonts w:ascii="Palatino Linotype" w:hAnsi="Palatino Linotype"/>
          <w:sz w:val="24"/>
          <w:szCs w:val="24"/>
        </w:rPr>
        <w:t>En estrecha conexión con esto</w:t>
      </w:r>
      <w:r w:rsidR="00F256CE" w:rsidRPr="00171135">
        <w:rPr>
          <w:rFonts w:ascii="Palatino Linotype" w:hAnsi="Palatino Linotype"/>
          <w:sz w:val="24"/>
          <w:szCs w:val="24"/>
        </w:rPr>
        <w:t xml:space="preserve">, este comentario se ha elaborado con la plena conciencia de la importancia de la cuestión del método en la filosofía de Heidegger, como se ha hecho cada vez más </w:t>
      </w:r>
      <w:r w:rsidR="00F256CE" w:rsidRPr="00171135">
        <w:rPr>
          <w:rFonts w:ascii="Palatino Linotype" w:hAnsi="Palatino Linotype"/>
          <w:sz w:val="24"/>
          <w:szCs w:val="24"/>
        </w:rPr>
        <w:lastRenderedPageBreak/>
        <w:t>patente en la investigación actual. Esto se debe a la fundada convicción de que “</w:t>
      </w:r>
      <w:r w:rsidR="006C6989" w:rsidRPr="00171135">
        <w:rPr>
          <w:rFonts w:ascii="Palatino Linotype" w:hAnsi="Palatino Linotype"/>
          <w:sz w:val="24"/>
          <w:szCs w:val="24"/>
        </w:rPr>
        <w:t>los análisis heideggerianos son una forma propia de praxis fenomenológica, proveniente de la inevitable interconexión entre el tema básico—la forma de ser de la existencia humana—y la manera de acceder a ella y sacarla a la luz” (p.12).</w:t>
      </w:r>
      <w:r w:rsidR="00227D93" w:rsidRPr="00171135">
        <w:rPr>
          <w:rFonts w:ascii="Palatino Linotype" w:hAnsi="Palatino Linotype"/>
          <w:sz w:val="24"/>
          <w:szCs w:val="24"/>
        </w:rPr>
        <w:t xml:space="preserve"> </w:t>
      </w:r>
      <w:r w:rsidR="006C6989" w:rsidRPr="00171135">
        <w:rPr>
          <w:rFonts w:ascii="Palatino Linotype" w:hAnsi="Palatino Linotype"/>
          <w:sz w:val="24"/>
          <w:szCs w:val="24"/>
        </w:rPr>
        <w:t>Por último el comentario se constituye como fenomenológico en la medida en que presta especial atención a la “disposición sistemática de las distintas partes de la obra”</w:t>
      </w:r>
      <w:r w:rsidR="00694831" w:rsidRPr="00171135">
        <w:rPr>
          <w:rFonts w:ascii="Palatino Linotype" w:hAnsi="Palatino Linotype"/>
          <w:sz w:val="24"/>
          <w:szCs w:val="24"/>
        </w:rPr>
        <w:t xml:space="preserve"> (p.12), sobre todo si se considera que la compleja arquitectura de esta obra podría estar cimentada sobre exigencias metódicas del proyecto que Heidegger emprende.</w:t>
      </w:r>
      <w:r w:rsidR="00B31058" w:rsidRPr="00171135">
        <w:rPr>
          <w:rFonts w:ascii="Palatino Linotype" w:hAnsi="Palatino Linotype"/>
          <w:sz w:val="24"/>
          <w:szCs w:val="24"/>
        </w:rPr>
        <w:t xml:space="preserve"> En esta tríada están captada</w:t>
      </w:r>
      <w:r w:rsidR="00544D26" w:rsidRPr="00171135">
        <w:rPr>
          <w:rFonts w:ascii="Palatino Linotype" w:hAnsi="Palatino Linotype"/>
          <w:sz w:val="24"/>
          <w:szCs w:val="24"/>
        </w:rPr>
        <w:t xml:space="preserve">s, a mi entender, las tres hebras principales que permiten articular </w:t>
      </w:r>
      <w:r w:rsidR="003B090D" w:rsidRPr="00171135">
        <w:rPr>
          <w:rFonts w:ascii="Palatino Linotype" w:hAnsi="Palatino Linotype"/>
          <w:sz w:val="24"/>
          <w:szCs w:val="24"/>
        </w:rPr>
        <w:t>una</w:t>
      </w:r>
      <w:r w:rsidR="00E775C5" w:rsidRPr="00171135">
        <w:rPr>
          <w:rFonts w:ascii="Palatino Linotype" w:hAnsi="Palatino Linotype"/>
          <w:sz w:val="24"/>
          <w:szCs w:val="24"/>
        </w:rPr>
        <w:t xml:space="preserve"> </w:t>
      </w:r>
      <w:r w:rsidR="00544D26" w:rsidRPr="00171135">
        <w:rPr>
          <w:rFonts w:ascii="Palatino Linotype" w:hAnsi="Palatino Linotype"/>
          <w:sz w:val="24"/>
          <w:szCs w:val="24"/>
        </w:rPr>
        <w:t xml:space="preserve">adecuada relación con </w:t>
      </w:r>
      <w:r w:rsidR="00E775C5" w:rsidRPr="00171135">
        <w:rPr>
          <w:rFonts w:ascii="Palatino Linotype" w:hAnsi="Palatino Linotype"/>
          <w:sz w:val="24"/>
          <w:szCs w:val="24"/>
        </w:rPr>
        <w:t>una</w:t>
      </w:r>
      <w:r w:rsidR="00227D93" w:rsidRPr="00171135">
        <w:rPr>
          <w:rFonts w:ascii="Palatino Linotype" w:hAnsi="Palatino Linotype"/>
          <w:sz w:val="24"/>
          <w:szCs w:val="24"/>
        </w:rPr>
        <w:t xml:space="preserve"> obra que en muchos respectos </w:t>
      </w:r>
      <w:r w:rsidR="00544D26" w:rsidRPr="00171135">
        <w:rPr>
          <w:rFonts w:ascii="Palatino Linotype" w:hAnsi="Palatino Linotype"/>
          <w:sz w:val="24"/>
          <w:szCs w:val="24"/>
        </w:rPr>
        <w:t>resulta fascinante</w:t>
      </w:r>
      <w:r w:rsidR="00BF0136" w:rsidRPr="00171135">
        <w:rPr>
          <w:rFonts w:ascii="Palatino Linotype" w:hAnsi="Palatino Linotype"/>
          <w:sz w:val="24"/>
          <w:szCs w:val="24"/>
        </w:rPr>
        <w:t>, pero también</w:t>
      </w:r>
      <w:r w:rsidR="00B31058" w:rsidRPr="00171135">
        <w:rPr>
          <w:rFonts w:ascii="Palatino Linotype" w:hAnsi="Palatino Linotype"/>
          <w:sz w:val="24"/>
          <w:szCs w:val="24"/>
        </w:rPr>
        <w:t>, extraordinariamente densa y  compleja</w:t>
      </w:r>
      <w:r w:rsidR="00544D26" w:rsidRPr="00171135">
        <w:rPr>
          <w:rFonts w:ascii="Palatino Linotype" w:hAnsi="Palatino Linotype"/>
          <w:sz w:val="24"/>
          <w:szCs w:val="24"/>
        </w:rPr>
        <w:t xml:space="preserve">. </w:t>
      </w:r>
    </w:p>
    <w:p w:rsidR="00E775C5" w:rsidRPr="00171135" w:rsidRDefault="00E775C5" w:rsidP="00171135">
      <w:pPr>
        <w:spacing w:line="240" w:lineRule="auto"/>
        <w:ind w:firstLine="709"/>
        <w:jc w:val="both"/>
        <w:rPr>
          <w:rFonts w:ascii="Palatino Linotype" w:hAnsi="Palatino Linotype"/>
          <w:sz w:val="24"/>
          <w:szCs w:val="24"/>
        </w:rPr>
      </w:pPr>
      <w:r w:rsidRPr="00171135">
        <w:rPr>
          <w:rFonts w:ascii="Palatino Linotype" w:hAnsi="Palatino Linotype"/>
          <w:sz w:val="24"/>
          <w:szCs w:val="24"/>
        </w:rPr>
        <w:t xml:space="preserve">Puestas las cosas en este registro, merecen mención aparte </w:t>
      </w:r>
      <w:r w:rsidR="00B31058" w:rsidRPr="00171135">
        <w:rPr>
          <w:rFonts w:ascii="Palatino Linotype" w:hAnsi="Palatino Linotype"/>
          <w:sz w:val="24"/>
          <w:szCs w:val="24"/>
        </w:rPr>
        <w:t>los trabajos de Ramón Rodríguez y de</w:t>
      </w:r>
      <w:r w:rsidRPr="00171135">
        <w:rPr>
          <w:rFonts w:ascii="Palatino Linotype" w:hAnsi="Palatino Linotype"/>
          <w:sz w:val="24"/>
          <w:szCs w:val="24"/>
        </w:rPr>
        <w:t xml:space="preserve"> Alejandro Vigo</w:t>
      </w:r>
      <w:r w:rsidR="00306C3C" w:rsidRPr="00171135">
        <w:rPr>
          <w:rFonts w:ascii="Palatino Linotype" w:hAnsi="Palatino Linotype"/>
          <w:sz w:val="24"/>
          <w:szCs w:val="24"/>
        </w:rPr>
        <w:t xml:space="preserve">. Es en sus contribuciones en las que la orientación fenomenológica arriba destacada alcanza una acreditación </w:t>
      </w:r>
      <w:r w:rsidR="00BF0136" w:rsidRPr="00171135">
        <w:rPr>
          <w:rFonts w:ascii="Palatino Linotype" w:hAnsi="Palatino Linotype"/>
          <w:sz w:val="24"/>
          <w:szCs w:val="24"/>
        </w:rPr>
        <w:t>prístina</w:t>
      </w:r>
      <w:r w:rsidR="00306C3C" w:rsidRPr="00171135">
        <w:rPr>
          <w:rFonts w:ascii="Palatino Linotype" w:hAnsi="Palatino Linotype"/>
          <w:sz w:val="24"/>
          <w:szCs w:val="24"/>
        </w:rPr>
        <w:t xml:space="preserve">. Pues, </w:t>
      </w:r>
      <w:r w:rsidR="00CA57C4" w:rsidRPr="00171135">
        <w:rPr>
          <w:rFonts w:ascii="Palatino Linotype" w:hAnsi="Palatino Linotype"/>
          <w:sz w:val="24"/>
          <w:szCs w:val="24"/>
        </w:rPr>
        <w:t xml:space="preserve">estos trabajos emergen de forma expresa  de dos propuestas interpretativas que conciernen en definitiva a aspectos nucleares </w:t>
      </w:r>
      <w:r w:rsidR="005B0D60" w:rsidRPr="00171135">
        <w:rPr>
          <w:rFonts w:ascii="Palatino Linotype" w:hAnsi="Palatino Linotype"/>
          <w:sz w:val="24"/>
          <w:szCs w:val="24"/>
        </w:rPr>
        <w:t xml:space="preserve">en el plano metódico-sistemático </w:t>
      </w:r>
      <w:r w:rsidR="00CA57C4" w:rsidRPr="00171135">
        <w:rPr>
          <w:rFonts w:ascii="Palatino Linotype" w:hAnsi="Palatino Linotype"/>
          <w:sz w:val="24"/>
          <w:szCs w:val="24"/>
        </w:rPr>
        <w:t>de</w:t>
      </w:r>
      <w:r w:rsidR="005B0D60" w:rsidRPr="00171135">
        <w:rPr>
          <w:rFonts w:ascii="Palatino Linotype" w:hAnsi="Palatino Linotype"/>
          <w:sz w:val="24"/>
          <w:szCs w:val="24"/>
        </w:rPr>
        <w:t>l pensamiento de Hei</w:t>
      </w:r>
      <w:r w:rsidR="00CA57C4" w:rsidRPr="00171135">
        <w:rPr>
          <w:rFonts w:ascii="Palatino Linotype" w:hAnsi="Palatino Linotype"/>
          <w:sz w:val="24"/>
          <w:szCs w:val="24"/>
        </w:rPr>
        <w:t>d</w:t>
      </w:r>
      <w:r w:rsidR="005B0D60" w:rsidRPr="00171135">
        <w:rPr>
          <w:rFonts w:ascii="Palatino Linotype" w:hAnsi="Palatino Linotype"/>
          <w:sz w:val="24"/>
          <w:szCs w:val="24"/>
        </w:rPr>
        <w:t>e</w:t>
      </w:r>
      <w:r w:rsidR="00CA57C4" w:rsidRPr="00171135">
        <w:rPr>
          <w:rFonts w:ascii="Palatino Linotype" w:hAnsi="Palatino Linotype"/>
          <w:sz w:val="24"/>
          <w:szCs w:val="24"/>
        </w:rPr>
        <w:t xml:space="preserve">gger. </w:t>
      </w:r>
      <w:r w:rsidR="005B0D60" w:rsidRPr="00171135">
        <w:rPr>
          <w:rFonts w:ascii="Palatino Linotype" w:hAnsi="Palatino Linotype"/>
          <w:sz w:val="24"/>
          <w:szCs w:val="24"/>
        </w:rPr>
        <w:t xml:space="preserve">Dos propuestas diferentes entre sí, pero no por ello excluyentes. </w:t>
      </w:r>
      <w:r w:rsidR="00336203" w:rsidRPr="00171135">
        <w:rPr>
          <w:rFonts w:ascii="Palatino Linotype" w:hAnsi="Palatino Linotype"/>
          <w:sz w:val="24"/>
          <w:szCs w:val="24"/>
        </w:rPr>
        <w:t>Así es como buena parte del enfoque que le da Vigo a sus comentarios se sostiene sobre la tesis fundamental y expuesta latamente en otros trabajos de que la orientación de la ontología heideggeriana concierne a la comprensión (verdad) del ser y del ente</w:t>
      </w:r>
      <w:r w:rsidR="00BF0136" w:rsidRPr="00171135">
        <w:rPr>
          <w:rFonts w:ascii="Palatino Linotype" w:hAnsi="Palatino Linotype"/>
          <w:sz w:val="24"/>
          <w:szCs w:val="24"/>
        </w:rPr>
        <w:t>,</w:t>
      </w:r>
      <w:r w:rsidR="00336203" w:rsidRPr="00171135">
        <w:rPr>
          <w:rFonts w:ascii="Palatino Linotype" w:hAnsi="Palatino Linotype"/>
          <w:sz w:val="24"/>
          <w:szCs w:val="24"/>
        </w:rPr>
        <w:t xml:space="preserve"> y es por ello </w:t>
      </w:r>
      <w:r w:rsidR="00487C21" w:rsidRPr="00171135">
        <w:rPr>
          <w:rFonts w:ascii="Palatino Linotype" w:hAnsi="Palatino Linotype"/>
          <w:sz w:val="24"/>
          <w:szCs w:val="24"/>
        </w:rPr>
        <w:t xml:space="preserve">más bien </w:t>
      </w:r>
      <w:r w:rsidR="00336203" w:rsidRPr="00171135">
        <w:rPr>
          <w:rFonts w:ascii="Palatino Linotype" w:hAnsi="Palatino Linotype"/>
          <w:sz w:val="24"/>
          <w:szCs w:val="24"/>
        </w:rPr>
        <w:t xml:space="preserve">una ontología </w:t>
      </w:r>
      <w:proofErr w:type="spellStart"/>
      <w:r w:rsidR="00336203" w:rsidRPr="00171135">
        <w:rPr>
          <w:rFonts w:ascii="Palatino Linotype" w:hAnsi="Palatino Linotype"/>
          <w:sz w:val="24"/>
          <w:szCs w:val="24"/>
        </w:rPr>
        <w:t>aleteiológica</w:t>
      </w:r>
      <w:proofErr w:type="spellEnd"/>
      <w:r w:rsidR="00336203" w:rsidRPr="00171135">
        <w:rPr>
          <w:rFonts w:ascii="Palatino Linotype" w:hAnsi="Palatino Linotype"/>
          <w:sz w:val="24"/>
          <w:szCs w:val="24"/>
        </w:rPr>
        <w:t xml:space="preserve"> (cf. p.98). </w:t>
      </w:r>
      <w:r w:rsidR="00AB51D2" w:rsidRPr="00171135">
        <w:rPr>
          <w:rFonts w:ascii="Palatino Linotype" w:hAnsi="Palatino Linotype"/>
          <w:sz w:val="24"/>
          <w:szCs w:val="24"/>
        </w:rPr>
        <w:t xml:space="preserve">Esto implica que la ontología fenomenológica que </w:t>
      </w:r>
      <w:r w:rsidR="00487C21" w:rsidRPr="00171135">
        <w:rPr>
          <w:rFonts w:ascii="Palatino Linotype" w:hAnsi="Palatino Linotype"/>
          <w:sz w:val="24"/>
          <w:szCs w:val="24"/>
        </w:rPr>
        <w:t>asume</w:t>
      </w:r>
      <w:r w:rsidR="00AB51D2" w:rsidRPr="00171135">
        <w:rPr>
          <w:rFonts w:ascii="Palatino Linotype" w:hAnsi="Palatino Linotype"/>
          <w:sz w:val="24"/>
          <w:szCs w:val="24"/>
        </w:rPr>
        <w:t xml:space="preserve"> Heidegger se constituye</w:t>
      </w:r>
      <w:r w:rsidR="00D02850" w:rsidRPr="00171135">
        <w:rPr>
          <w:rFonts w:ascii="Palatino Linotype" w:hAnsi="Palatino Linotype"/>
          <w:sz w:val="24"/>
          <w:szCs w:val="24"/>
        </w:rPr>
        <w:t>, por lo pronto,</w:t>
      </w:r>
      <w:r w:rsidR="00AB51D2" w:rsidRPr="00171135">
        <w:rPr>
          <w:rFonts w:ascii="Palatino Linotype" w:hAnsi="Palatino Linotype"/>
          <w:sz w:val="24"/>
          <w:szCs w:val="24"/>
        </w:rPr>
        <w:t xml:space="preserve"> </w:t>
      </w:r>
      <w:r w:rsidR="00B31058" w:rsidRPr="00171135">
        <w:rPr>
          <w:rFonts w:ascii="Palatino Linotype" w:hAnsi="Palatino Linotype"/>
          <w:sz w:val="24"/>
          <w:szCs w:val="24"/>
        </w:rPr>
        <w:t xml:space="preserve">como intento </w:t>
      </w:r>
      <w:r w:rsidR="00AB51D2" w:rsidRPr="00171135">
        <w:rPr>
          <w:rFonts w:ascii="Palatino Linotype" w:hAnsi="Palatino Linotype"/>
          <w:sz w:val="24"/>
          <w:szCs w:val="24"/>
        </w:rPr>
        <w:t xml:space="preserve">hacer expresos los “fenómenos de acceso” </w:t>
      </w:r>
      <w:r w:rsidR="00562D5F" w:rsidRPr="00171135">
        <w:rPr>
          <w:rFonts w:ascii="Palatino Linotype" w:hAnsi="Palatino Linotype"/>
          <w:sz w:val="24"/>
          <w:szCs w:val="24"/>
        </w:rPr>
        <w:t>(p. 98)</w:t>
      </w:r>
      <w:r w:rsidR="00AB51D2" w:rsidRPr="00171135">
        <w:rPr>
          <w:rFonts w:ascii="Palatino Linotype" w:hAnsi="Palatino Linotype"/>
          <w:sz w:val="24"/>
          <w:szCs w:val="24"/>
        </w:rPr>
        <w:t xml:space="preserve"> en la experiencia humana del mundo y de sí mismo, que por ello mismo ya están latentes en la actitud natural.  A partir de esta premisas, Vigo logra dar cuenta</w:t>
      </w:r>
      <w:r w:rsidR="00562D5F" w:rsidRPr="00171135">
        <w:rPr>
          <w:rFonts w:ascii="Palatino Linotype" w:hAnsi="Palatino Linotype"/>
          <w:sz w:val="24"/>
          <w:szCs w:val="24"/>
        </w:rPr>
        <w:t>,</w:t>
      </w:r>
      <w:r w:rsidR="00AB51D2" w:rsidRPr="00171135">
        <w:rPr>
          <w:rFonts w:ascii="Palatino Linotype" w:hAnsi="Palatino Linotype"/>
          <w:sz w:val="24"/>
          <w:szCs w:val="24"/>
        </w:rPr>
        <w:t xml:space="preserve"> en el nivel metódico del proyecto heideggeriano</w:t>
      </w:r>
      <w:r w:rsidR="00562D5F" w:rsidRPr="00171135">
        <w:rPr>
          <w:rFonts w:ascii="Palatino Linotype" w:hAnsi="Palatino Linotype"/>
          <w:sz w:val="24"/>
          <w:szCs w:val="24"/>
        </w:rPr>
        <w:t>,</w:t>
      </w:r>
      <w:r w:rsidR="00AB51D2" w:rsidRPr="00171135">
        <w:rPr>
          <w:rFonts w:ascii="Palatino Linotype" w:hAnsi="Palatino Linotype"/>
          <w:sz w:val="24"/>
          <w:szCs w:val="24"/>
        </w:rPr>
        <w:t xml:space="preserve"> de la necesidad del punto de partida de la analítica </w:t>
      </w:r>
      <w:proofErr w:type="spellStart"/>
      <w:r w:rsidR="00AB51D2" w:rsidRPr="00171135">
        <w:rPr>
          <w:rFonts w:ascii="Palatino Linotype" w:hAnsi="Palatino Linotype"/>
          <w:sz w:val="24"/>
          <w:szCs w:val="24"/>
        </w:rPr>
        <w:t>existenciaria</w:t>
      </w:r>
      <w:proofErr w:type="spellEnd"/>
      <w:r w:rsidR="00AB51D2" w:rsidRPr="00171135">
        <w:rPr>
          <w:rFonts w:ascii="Palatino Linotype" w:hAnsi="Palatino Linotype"/>
          <w:sz w:val="24"/>
          <w:szCs w:val="24"/>
        </w:rPr>
        <w:t xml:space="preserve"> que arranca con la modalidad impropia de la existencia </w:t>
      </w:r>
      <w:r w:rsidR="00562D5F" w:rsidRPr="00171135">
        <w:rPr>
          <w:rFonts w:ascii="Palatino Linotype" w:hAnsi="Palatino Linotype"/>
          <w:sz w:val="24"/>
          <w:szCs w:val="24"/>
        </w:rPr>
        <w:t>(cf. pp. 204-211</w:t>
      </w:r>
      <w:r w:rsidR="00AB51D2" w:rsidRPr="00171135">
        <w:rPr>
          <w:rFonts w:ascii="Palatino Linotype" w:hAnsi="Palatino Linotype"/>
          <w:sz w:val="24"/>
          <w:szCs w:val="24"/>
        </w:rPr>
        <w:t>), por un lado, y de la necesidad sistemática de la transición —no reversible desde el punto de vista metódico— hacia la acreditación y análisis de la “propiedad”</w:t>
      </w:r>
      <w:r w:rsidR="00562D5F" w:rsidRPr="00171135">
        <w:rPr>
          <w:rFonts w:ascii="Palatino Linotype" w:hAnsi="Palatino Linotype"/>
          <w:sz w:val="24"/>
          <w:szCs w:val="24"/>
        </w:rPr>
        <w:t>, por otro (cf. p. 211-217)</w:t>
      </w:r>
      <w:r w:rsidR="00C25571" w:rsidRPr="00171135">
        <w:rPr>
          <w:rFonts w:ascii="Palatino Linotype" w:hAnsi="Palatino Linotype"/>
          <w:sz w:val="24"/>
          <w:szCs w:val="24"/>
        </w:rPr>
        <w:t xml:space="preserve">. Los trabajos de Rodríguez, por su parte, </w:t>
      </w:r>
      <w:r w:rsidR="00487C21" w:rsidRPr="00171135">
        <w:rPr>
          <w:rFonts w:ascii="Palatino Linotype" w:hAnsi="Palatino Linotype"/>
          <w:sz w:val="24"/>
          <w:szCs w:val="24"/>
        </w:rPr>
        <w:t>tienen un hilo conductor—</w:t>
      </w:r>
      <w:r w:rsidR="004E7AE0" w:rsidRPr="00171135">
        <w:rPr>
          <w:rFonts w:ascii="Palatino Linotype" w:hAnsi="Palatino Linotype"/>
          <w:sz w:val="24"/>
          <w:szCs w:val="24"/>
        </w:rPr>
        <w:t xml:space="preserve">visto </w:t>
      </w:r>
      <w:r w:rsidR="00487C21" w:rsidRPr="00171135">
        <w:rPr>
          <w:rFonts w:ascii="Palatino Linotype" w:hAnsi="Palatino Linotype"/>
          <w:sz w:val="24"/>
          <w:szCs w:val="24"/>
        </w:rPr>
        <w:t xml:space="preserve">nuevamente </w:t>
      </w:r>
      <w:r w:rsidR="004E7AE0" w:rsidRPr="00171135">
        <w:rPr>
          <w:rFonts w:ascii="Palatino Linotype" w:hAnsi="Palatino Linotype"/>
          <w:sz w:val="24"/>
          <w:szCs w:val="24"/>
        </w:rPr>
        <w:t>desde una perspectiva est</w:t>
      </w:r>
      <w:r w:rsidR="00487C21" w:rsidRPr="00171135">
        <w:rPr>
          <w:rFonts w:ascii="Palatino Linotype" w:hAnsi="Palatino Linotype"/>
          <w:sz w:val="24"/>
          <w:szCs w:val="24"/>
        </w:rPr>
        <w:t>rictamente sistemático-metódica—</w:t>
      </w:r>
      <w:r w:rsidR="004E7AE0" w:rsidRPr="00171135">
        <w:rPr>
          <w:rFonts w:ascii="Palatino Linotype" w:hAnsi="Palatino Linotype"/>
          <w:sz w:val="24"/>
          <w:szCs w:val="24"/>
        </w:rPr>
        <w:t xml:space="preserve"> bastante claro. En efecto, su enfoque se sustenta en sus lúcidos estudios anteriores acerca de la función y estatuto del </w:t>
      </w:r>
      <w:proofErr w:type="spellStart"/>
      <w:r w:rsidR="004E7AE0" w:rsidRPr="00171135">
        <w:rPr>
          <w:rFonts w:ascii="Palatino Linotype" w:hAnsi="Palatino Linotype"/>
          <w:sz w:val="24"/>
          <w:szCs w:val="24"/>
        </w:rPr>
        <w:t>metaconcepto</w:t>
      </w:r>
      <w:proofErr w:type="spellEnd"/>
      <w:r w:rsidR="004E7AE0" w:rsidRPr="00171135">
        <w:rPr>
          <w:rFonts w:ascii="Palatino Linotype" w:hAnsi="Palatino Linotype"/>
          <w:sz w:val="24"/>
          <w:szCs w:val="24"/>
        </w:rPr>
        <w:t xml:space="preserve"> al que Heidegger</w:t>
      </w:r>
      <w:r w:rsidR="007A036C" w:rsidRPr="00171135">
        <w:rPr>
          <w:rFonts w:ascii="Palatino Linotype" w:hAnsi="Palatino Linotype"/>
          <w:sz w:val="24"/>
          <w:szCs w:val="24"/>
        </w:rPr>
        <w:t xml:space="preserve"> refiere</w:t>
      </w:r>
      <w:r w:rsidR="00487C21" w:rsidRPr="00171135">
        <w:rPr>
          <w:rFonts w:ascii="Palatino Linotype" w:hAnsi="Palatino Linotype"/>
          <w:sz w:val="24"/>
          <w:szCs w:val="24"/>
        </w:rPr>
        <w:t xml:space="preserve"> ya</w:t>
      </w:r>
      <w:r w:rsidR="007A036C" w:rsidRPr="00171135">
        <w:rPr>
          <w:rFonts w:ascii="Palatino Linotype" w:hAnsi="Palatino Linotype"/>
          <w:sz w:val="24"/>
          <w:szCs w:val="24"/>
        </w:rPr>
        <w:t xml:space="preserve"> en sus lecciones tempranas con el nombre de </w:t>
      </w:r>
      <w:r w:rsidR="004E7AE0" w:rsidRPr="00171135">
        <w:rPr>
          <w:rFonts w:ascii="Palatino Linotype" w:hAnsi="Palatino Linotype"/>
          <w:sz w:val="24"/>
          <w:szCs w:val="24"/>
        </w:rPr>
        <w:t xml:space="preserve"> “indicación formal”</w:t>
      </w:r>
      <w:r w:rsidR="00414756" w:rsidRPr="00171135">
        <w:rPr>
          <w:rFonts w:ascii="Palatino Linotype" w:hAnsi="Palatino Linotype"/>
          <w:sz w:val="24"/>
          <w:szCs w:val="24"/>
        </w:rPr>
        <w:t>.</w:t>
      </w:r>
      <w:r w:rsidR="00B779B0">
        <w:rPr>
          <w:rStyle w:val="Refdenotaalpie"/>
          <w:rFonts w:ascii="Palatino Linotype" w:hAnsi="Palatino Linotype"/>
          <w:sz w:val="24"/>
          <w:szCs w:val="24"/>
        </w:rPr>
        <w:footnoteReference w:id="4"/>
      </w:r>
      <w:r w:rsidR="007A036C" w:rsidRPr="00171135">
        <w:rPr>
          <w:rFonts w:ascii="Palatino Linotype" w:hAnsi="Palatino Linotype"/>
          <w:sz w:val="24"/>
          <w:szCs w:val="24"/>
        </w:rPr>
        <w:t xml:space="preserve"> Rodríguez muestra de forma convincente que, a pesar de las escasas menciones de este término en la obra, la estructura metódica que designa está plenamente vigente y operativa en ST (cf. pp. 54, 58, 120, 318). </w:t>
      </w:r>
      <w:r w:rsidR="007A036C" w:rsidRPr="00171135">
        <w:rPr>
          <w:rFonts w:ascii="Palatino Linotype" w:hAnsi="Palatino Linotype"/>
          <w:sz w:val="24"/>
          <w:szCs w:val="24"/>
        </w:rPr>
        <w:lastRenderedPageBreak/>
        <w:t>Hasta donde puedo verlo, es precisamente este enfoque el que le permite a Rodríguez circunscribir uno de los problemas coyunturales que atraviesa a ST de lado a lado</w:t>
      </w:r>
      <w:r w:rsidR="000F07A2" w:rsidRPr="00171135">
        <w:rPr>
          <w:rFonts w:ascii="Palatino Linotype" w:hAnsi="Palatino Linotype"/>
          <w:sz w:val="24"/>
          <w:szCs w:val="24"/>
        </w:rPr>
        <w:t xml:space="preserve">. A instancias de su análisis de la función sistemática de la “resolución precursora”, el autor de este comentario expresa la verdadera conmoción metódica que </w:t>
      </w:r>
      <w:r w:rsidR="003B090D" w:rsidRPr="00171135">
        <w:rPr>
          <w:rFonts w:ascii="Palatino Linotype" w:hAnsi="Palatino Linotype"/>
          <w:sz w:val="24"/>
          <w:szCs w:val="24"/>
        </w:rPr>
        <w:t>ahí</w:t>
      </w:r>
      <w:r w:rsidR="000F07A2" w:rsidRPr="00171135">
        <w:rPr>
          <w:rFonts w:ascii="Palatino Linotype" w:hAnsi="Palatino Linotype"/>
          <w:sz w:val="24"/>
          <w:szCs w:val="24"/>
        </w:rPr>
        <w:t xml:space="preserve"> se opera en los siguientes términos “</w:t>
      </w:r>
      <w:r w:rsidR="000F07A2" w:rsidRPr="00171135">
        <w:rPr>
          <w:rFonts w:ascii="Palatino Linotype" w:hAnsi="Palatino Linotype"/>
          <w:i/>
          <w:sz w:val="24"/>
          <w:szCs w:val="24"/>
        </w:rPr>
        <w:t xml:space="preserve">Lo específicamente novedoso que representa la resolución precursora para el curso de la investigación es que, en cierto modo se altera la relación entre lo </w:t>
      </w:r>
      <w:proofErr w:type="spellStart"/>
      <w:r w:rsidR="000F07A2" w:rsidRPr="00171135">
        <w:rPr>
          <w:rFonts w:ascii="Palatino Linotype" w:hAnsi="Palatino Linotype"/>
          <w:i/>
          <w:sz w:val="24"/>
          <w:szCs w:val="24"/>
        </w:rPr>
        <w:t>óntico</w:t>
      </w:r>
      <w:proofErr w:type="spellEnd"/>
      <w:r w:rsidR="000F07A2" w:rsidRPr="00171135">
        <w:rPr>
          <w:rFonts w:ascii="Palatino Linotype" w:hAnsi="Palatino Linotype"/>
          <w:i/>
          <w:sz w:val="24"/>
          <w:szCs w:val="24"/>
        </w:rPr>
        <w:t xml:space="preserve"> y ontológico</w:t>
      </w:r>
      <w:r w:rsidR="000F07A2" w:rsidRPr="00171135">
        <w:rPr>
          <w:rFonts w:ascii="Palatino Linotype" w:hAnsi="Palatino Linotype"/>
          <w:sz w:val="24"/>
          <w:szCs w:val="24"/>
        </w:rPr>
        <w:t xml:space="preserve">” (p.312, destacado del autor). </w:t>
      </w:r>
      <w:r w:rsidR="00D02850" w:rsidRPr="00171135">
        <w:rPr>
          <w:rFonts w:ascii="Palatino Linotype" w:hAnsi="Palatino Linotype"/>
          <w:sz w:val="24"/>
          <w:szCs w:val="24"/>
        </w:rPr>
        <w:t xml:space="preserve">Esto implica que “lo </w:t>
      </w:r>
      <w:proofErr w:type="spellStart"/>
      <w:r w:rsidR="00D02850" w:rsidRPr="00171135">
        <w:rPr>
          <w:rFonts w:ascii="Palatino Linotype" w:hAnsi="Palatino Linotype"/>
          <w:sz w:val="24"/>
          <w:szCs w:val="24"/>
        </w:rPr>
        <w:t>óntico</w:t>
      </w:r>
      <w:proofErr w:type="spellEnd"/>
      <w:r w:rsidR="00D02850" w:rsidRPr="00171135">
        <w:rPr>
          <w:rFonts w:ascii="Palatino Linotype" w:hAnsi="Palatino Linotype"/>
          <w:sz w:val="24"/>
          <w:szCs w:val="24"/>
        </w:rPr>
        <w:t xml:space="preserve"> supone lo ontológico y lo ontológico lo </w:t>
      </w:r>
      <w:proofErr w:type="spellStart"/>
      <w:r w:rsidR="00D02850" w:rsidRPr="00171135">
        <w:rPr>
          <w:rFonts w:ascii="Palatino Linotype" w:hAnsi="Palatino Linotype"/>
          <w:sz w:val="24"/>
          <w:szCs w:val="24"/>
        </w:rPr>
        <w:t>ontico</w:t>
      </w:r>
      <w:proofErr w:type="spellEnd"/>
      <w:r w:rsidR="00D02850" w:rsidRPr="00171135">
        <w:rPr>
          <w:rFonts w:ascii="Palatino Linotype" w:hAnsi="Palatino Linotype"/>
          <w:sz w:val="24"/>
          <w:szCs w:val="24"/>
        </w:rPr>
        <w:t>” (p.319).</w:t>
      </w:r>
      <w:r w:rsidR="000F07A2" w:rsidRPr="00171135">
        <w:rPr>
          <w:rFonts w:ascii="Palatino Linotype" w:hAnsi="Palatino Linotype"/>
          <w:sz w:val="24"/>
          <w:szCs w:val="24"/>
        </w:rPr>
        <w:t xml:space="preserve">Todo estudioso de Heidegger comprenderá la envergadura de esta tesis y los decisivos efectos que tiene sobre la comprensión del nervio metódico de la fenomenología-hermenéutica. </w:t>
      </w:r>
      <w:r w:rsidR="00735A34" w:rsidRPr="00171135">
        <w:rPr>
          <w:rFonts w:ascii="Palatino Linotype" w:hAnsi="Palatino Linotype"/>
          <w:sz w:val="24"/>
          <w:szCs w:val="24"/>
        </w:rPr>
        <w:t>Es el propio Rodríguez el que</w:t>
      </w:r>
      <w:r w:rsidR="00487C21" w:rsidRPr="00171135">
        <w:rPr>
          <w:rFonts w:ascii="Palatino Linotype" w:hAnsi="Palatino Linotype"/>
          <w:sz w:val="24"/>
          <w:szCs w:val="24"/>
        </w:rPr>
        <w:t>,</w:t>
      </w:r>
      <w:r w:rsidR="00735A34" w:rsidRPr="00171135">
        <w:rPr>
          <w:rFonts w:ascii="Palatino Linotype" w:hAnsi="Palatino Linotype"/>
          <w:sz w:val="24"/>
          <w:szCs w:val="24"/>
        </w:rPr>
        <w:t xml:space="preserve"> pocas páginas más adelante, apunta al centro mismo de lo que puede llegar a </w:t>
      </w:r>
      <w:r w:rsidR="00487C21" w:rsidRPr="00171135">
        <w:rPr>
          <w:rFonts w:ascii="Palatino Linotype" w:hAnsi="Palatino Linotype"/>
          <w:sz w:val="24"/>
          <w:szCs w:val="24"/>
        </w:rPr>
        <w:t xml:space="preserve">de </w:t>
      </w:r>
      <w:r w:rsidR="00735A34" w:rsidRPr="00171135">
        <w:rPr>
          <w:rFonts w:ascii="Palatino Linotype" w:hAnsi="Palatino Linotype"/>
          <w:sz w:val="24"/>
          <w:szCs w:val="24"/>
        </w:rPr>
        <w:t xml:space="preserve"> la discusión </w:t>
      </w:r>
      <w:r w:rsidR="00487C21" w:rsidRPr="00171135">
        <w:rPr>
          <w:rFonts w:ascii="Palatino Linotype" w:hAnsi="Palatino Linotype"/>
          <w:sz w:val="24"/>
          <w:szCs w:val="24"/>
        </w:rPr>
        <w:t>sobre el</w:t>
      </w:r>
      <w:r w:rsidR="00735A34" w:rsidRPr="00171135">
        <w:rPr>
          <w:rFonts w:ascii="Palatino Linotype" w:hAnsi="Palatino Linotype"/>
          <w:sz w:val="24"/>
          <w:szCs w:val="24"/>
        </w:rPr>
        <w:t xml:space="preserve"> método fenomenológico-hermenéutico,  pues a partir de lo anterior se puede comprender que dicho método “no comporta una suposición trascendental que configura y limita a priori lo dado”</w:t>
      </w:r>
      <w:r w:rsidR="003B090D" w:rsidRPr="00171135">
        <w:rPr>
          <w:rFonts w:ascii="Palatino Linotype" w:hAnsi="Palatino Linotype"/>
          <w:sz w:val="24"/>
          <w:szCs w:val="24"/>
        </w:rPr>
        <w:t xml:space="preserve"> </w:t>
      </w:r>
      <w:r w:rsidR="00735A34" w:rsidRPr="00171135">
        <w:rPr>
          <w:rFonts w:ascii="Palatino Linotype" w:hAnsi="Palatino Linotype"/>
          <w:sz w:val="24"/>
          <w:szCs w:val="24"/>
        </w:rPr>
        <w:t>(p. 320)</w:t>
      </w:r>
      <w:r w:rsidR="00D02850" w:rsidRPr="00171135">
        <w:rPr>
          <w:rFonts w:ascii="Palatino Linotype" w:hAnsi="Palatino Linotype"/>
          <w:sz w:val="24"/>
          <w:szCs w:val="24"/>
        </w:rPr>
        <w:t>.</w:t>
      </w:r>
      <w:r w:rsidR="00487C21" w:rsidRPr="00171135">
        <w:rPr>
          <w:rFonts w:ascii="Palatino Linotype" w:hAnsi="Palatino Linotype"/>
          <w:sz w:val="24"/>
          <w:szCs w:val="24"/>
        </w:rPr>
        <w:t xml:space="preserve"> De esta forma, ambos autores, desde ángulos distintos, dan cuenta de elementos fundamentales de la metódica heideggeriana y, con ello, ofrecen claves para penetrar en las razones sistemáticas que explican el sentido y alcance de momentos decisivos en la compleja arquitectura de esta obra.</w:t>
      </w:r>
    </w:p>
    <w:p w:rsidR="00D02850" w:rsidRDefault="00D02850" w:rsidP="00171135">
      <w:pPr>
        <w:spacing w:line="240" w:lineRule="auto"/>
        <w:jc w:val="both"/>
        <w:rPr>
          <w:rFonts w:ascii="Palatino Linotype" w:hAnsi="Palatino Linotype"/>
          <w:sz w:val="24"/>
          <w:szCs w:val="24"/>
        </w:rPr>
      </w:pPr>
      <w:r w:rsidRPr="00171135">
        <w:rPr>
          <w:rFonts w:ascii="Palatino Linotype" w:hAnsi="Palatino Linotype"/>
          <w:sz w:val="24"/>
          <w:szCs w:val="24"/>
        </w:rPr>
        <w:t>Finalmente en aspectos de orden formal, cada uno de estos comentarios está escrito en un estilo claro y directo, en la medida por cierto que la materia en cuestión lo permite. El te</w:t>
      </w:r>
      <w:r w:rsidR="00A91C26" w:rsidRPr="00171135">
        <w:rPr>
          <w:rFonts w:ascii="Palatino Linotype" w:hAnsi="Palatino Linotype"/>
          <w:sz w:val="24"/>
          <w:szCs w:val="24"/>
        </w:rPr>
        <w:t>x</w:t>
      </w:r>
      <w:r w:rsidRPr="00171135">
        <w:rPr>
          <w:rFonts w:ascii="Palatino Linotype" w:hAnsi="Palatino Linotype"/>
          <w:sz w:val="24"/>
          <w:szCs w:val="24"/>
        </w:rPr>
        <w:t xml:space="preserve">to en su conjunto presenta una edición bien cuidada, toda vez que erratas y errores tipográficos </w:t>
      </w:r>
      <w:r w:rsidR="007D59E7" w:rsidRPr="00171135">
        <w:rPr>
          <w:rFonts w:ascii="Palatino Linotype" w:hAnsi="Palatino Linotype"/>
          <w:sz w:val="24"/>
          <w:szCs w:val="24"/>
        </w:rPr>
        <w:t xml:space="preserve">son </w:t>
      </w:r>
      <w:r w:rsidRPr="00171135">
        <w:rPr>
          <w:rFonts w:ascii="Palatino Linotype" w:hAnsi="Palatino Linotype"/>
          <w:sz w:val="24"/>
          <w:szCs w:val="24"/>
        </w:rPr>
        <w:t xml:space="preserve">escasísimos e insignificantes. </w:t>
      </w:r>
      <w:r w:rsidR="009B268C" w:rsidRPr="00171135">
        <w:rPr>
          <w:rFonts w:ascii="Palatino Linotype" w:hAnsi="Palatino Linotype"/>
          <w:sz w:val="24"/>
          <w:szCs w:val="24"/>
        </w:rPr>
        <w:t xml:space="preserve">De esta </w:t>
      </w:r>
      <w:r w:rsidR="00487C21" w:rsidRPr="00171135">
        <w:rPr>
          <w:rFonts w:ascii="Palatino Linotype" w:hAnsi="Palatino Linotype"/>
          <w:sz w:val="24"/>
          <w:szCs w:val="24"/>
        </w:rPr>
        <w:t>manera,</w:t>
      </w:r>
      <w:r w:rsidR="009B268C" w:rsidRPr="00171135">
        <w:rPr>
          <w:rFonts w:ascii="Palatino Linotype" w:hAnsi="Palatino Linotype"/>
          <w:sz w:val="24"/>
          <w:szCs w:val="24"/>
        </w:rPr>
        <w:t xml:space="preserve"> sólo </w:t>
      </w:r>
      <w:r w:rsidR="00487C21" w:rsidRPr="00171135">
        <w:rPr>
          <w:rFonts w:ascii="Palatino Linotype" w:hAnsi="Palatino Linotype"/>
          <w:sz w:val="24"/>
          <w:szCs w:val="24"/>
        </w:rPr>
        <w:t xml:space="preserve">cabe </w:t>
      </w:r>
      <w:r w:rsidR="009B268C" w:rsidRPr="00171135">
        <w:rPr>
          <w:rFonts w:ascii="Palatino Linotype" w:hAnsi="Palatino Linotype"/>
          <w:sz w:val="24"/>
          <w:szCs w:val="24"/>
        </w:rPr>
        <w:t xml:space="preserve">celebrar el gran logro que significa la publicación de este libro pues no sólo le presta valioso servicio tanto al lector interesado </w:t>
      </w:r>
      <w:r w:rsidR="003B090D" w:rsidRPr="00171135">
        <w:rPr>
          <w:rFonts w:ascii="Palatino Linotype" w:hAnsi="Palatino Linotype"/>
          <w:sz w:val="24"/>
          <w:szCs w:val="24"/>
        </w:rPr>
        <w:t>com</w:t>
      </w:r>
      <w:r w:rsidR="009B268C" w:rsidRPr="00171135">
        <w:rPr>
          <w:rFonts w:ascii="Palatino Linotype" w:hAnsi="Palatino Linotype"/>
          <w:sz w:val="24"/>
          <w:szCs w:val="24"/>
        </w:rPr>
        <w:t xml:space="preserve">o al estudioso especializado en el intento de aclaración de determinados pasajes o conceptos, sino </w:t>
      </w:r>
      <w:r w:rsidR="0061678F" w:rsidRPr="00171135">
        <w:rPr>
          <w:rFonts w:ascii="Palatino Linotype" w:hAnsi="Palatino Linotype"/>
          <w:sz w:val="24"/>
          <w:szCs w:val="24"/>
        </w:rPr>
        <w:t xml:space="preserve">que </w:t>
      </w:r>
      <w:r w:rsidR="009B268C" w:rsidRPr="00171135">
        <w:rPr>
          <w:rFonts w:ascii="Palatino Linotype" w:hAnsi="Palatino Linotype"/>
          <w:sz w:val="24"/>
          <w:szCs w:val="24"/>
        </w:rPr>
        <w:t xml:space="preserve">este comentario colaborativo </w:t>
      </w:r>
      <w:r w:rsidR="007D59E7" w:rsidRPr="00171135">
        <w:rPr>
          <w:rFonts w:ascii="Palatino Linotype" w:hAnsi="Palatino Linotype"/>
          <w:sz w:val="24"/>
          <w:szCs w:val="24"/>
        </w:rPr>
        <w:t>también</w:t>
      </w:r>
      <w:r w:rsidR="009B268C" w:rsidRPr="00171135">
        <w:rPr>
          <w:rFonts w:ascii="Palatino Linotype" w:hAnsi="Palatino Linotype"/>
          <w:sz w:val="24"/>
          <w:szCs w:val="24"/>
        </w:rPr>
        <w:t xml:space="preserve"> </w:t>
      </w:r>
      <w:r w:rsidR="0061678F" w:rsidRPr="00171135">
        <w:rPr>
          <w:rFonts w:ascii="Palatino Linotype" w:hAnsi="Palatino Linotype"/>
          <w:sz w:val="24"/>
          <w:szCs w:val="24"/>
        </w:rPr>
        <w:t>puede</w:t>
      </w:r>
      <w:r w:rsidR="007D59E7" w:rsidRPr="00171135">
        <w:rPr>
          <w:rFonts w:ascii="Palatino Linotype" w:hAnsi="Palatino Linotype"/>
          <w:sz w:val="24"/>
          <w:szCs w:val="24"/>
        </w:rPr>
        <w:t xml:space="preserve"> ayudar a constituir, por un lado, un punto de mira </w:t>
      </w:r>
      <w:r w:rsidR="0061678F" w:rsidRPr="00171135">
        <w:rPr>
          <w:rFonts w:ascii="Palatino Linotype" w:hAnsi="Palatino Linotype"/>
          <w:sz w:val="24"/>
          <w:szCs w:val="24"/>
        </w:rPr>
        <w:t>adecuado que permita el</w:t>
      </w:r>
      <w:r w:rsidR="00FC0682" w:rsidRPr="00171135">
        <w:rPr>
          <w:rFonts w:ascii="Palatino Linotype" w:hAnsi="Palatino Linotype"/>
          <w:sz w:val="24"/>
          <w:szCs w:val="24"/>
        </w:rPr>
        <w:t xml:space="preserve"> recto abordaje a aquello que expone </w:t>
      </w:r>
      <w:r w:rsidR="0061678F" w:rsidRPr="00171135">
        <w:rPr>
          <w:rFonts w:ascii="Palatino Linotype" w:hAnsi="Palatino Linotype"/>
          <w:sz w:val="24"/>
          <w:szCs w:val="24"/>
        </w:rPr>
        <w:t xml:space="preserve">ST </w:t>
      </w:r>
      <w:r w:rsidR="007D59E7" w:rsidRPr="00171135">
        <w:rPr>
          <w:rFonts w:ascii="Palatino Linotype" w:hAnsi="Palatino Linotype"/>
          <w:sz w:val="24"/>
          <w:szCs w:val="24"/>
        </w:rPr>
        <w:t xml:space="preserve">y, por otro, un espacio común de estudios </w:t>
      </w:r>
      <w:r w:rsidR="0061678F" w:rsidRPr="00171135">
        <w:rPr>
          <w:rFonts w:ascii="Palatino Linotype" w:hAnsi="Palatino Linotype"/>
          <w:sz w:val="24"/>
          <w:szCs w:val="24"/>
        </w:rPr>
        <w:t>en que se vuelve viva la discusión</w:t>
      </w:r>
      <w:r w:rsidR="007D59E7" w:rsidRPr="00171135">
        <w:rPr>
          <w:rFonts w:ascii="Palatino Linotype" w:hAnsi="Palatino Linotype"/>
          <w:sz w:val="24"/>
          <w:szCs w:val="24"/>
        </w:rPr>
        <w:t xml:space="preserve"> </w:t>
      </w:r>
      <w:r w:rsidR="0061678F" w:rsidRPr="00171135">
        <w:rPr>
          <w:rFonts w:ascii="Palatino Linotype" w:hAnsi="Palatino Linotype"/>
          <w:sz w:val="24"/>
          <w:szCs w:val="24"/>
        </w:rPr>
        <w:t xml:space="preserve">sobre </w:t>
      </w:r>
      <w:r w:rsidR="007D59E7" w:rsidRPr="00171135">
        <w:rPr>
          <w:rFonts w:ascii="Palatino Linotype" w:hAnsi="Palatino Linotype"/>
          <w:sz w:val="24"/>
          <w:szCs w:val="24"/>
        </w:rPr>
        <w:t>todos aquellos temas que Heidegger ha abierto</w:t>
      </w:r>
      <w:r w:rsidR="0061678F" w:rsidRPr="00171135">
        <w:rPr>
          <w:rFonts w:ascii="Palatino Linotype" w:hAnsi="Palatino Linotype"/>
          <w:sz w:val="24"/>
          <w:szCs w:val="24"/>
        </w:rPr>
        <w:t xml:space="preserve"> y proyectado</w:t>
      </w:r>
      <w:r w:rsidR="007D59E7" w:rsidRPr="00171135">
        <w:rPr>
          <w:rFonts w:ascii="Palatino Linotype" w:hAnsi="Palatino Linotype"/>
          <w:sz w:val="24"/>
          <w:szCs w:val="24"/>
        </w:rPr>
        <w:t xml:space="preserve"> en </w:t>
      </w:r>
      <w:r w:rsidR="00FC0682" w:rsidRPr="00171135">
        <w:rPr>
          <w:rFonts w:ascii="Palatino Linotype" w:hAnsi="Palatino Linotype"/>
          <w:sz w:val="24"/>
          <w:szCs w:val="24"/>
        </w:rPr>
        <w:t>esta obra</w:t>
      </w:r>
      <w:r w:rsidR="007D59E7" w:rsidRPr="00171135">
        <w:rPr>
          <w:rFonts w:ascii="Palatino Linotype" w:hAnsi="Palatino Linotype"/>
          <w:sz w:val="24"/>
          <w:szCs w:val="24"/>
        </w:rPr>
        <w:t>.</w:t>
      </w:r>
    </w:p>
    <w:p w:rsidR="00B779B0" w:rsidRDefault="00B779B0" w:rsidP="00171135">
      <w:pPr>
        <w:spacing w:line="240" w:lineRule="auto"/>
        <w:jc w:val="both"/>
        <w:rPr>
          <w:rFonts w:ascii="Palatino Linotype" w:hAnsi="Palatino Linotype"/>
          <w:sz w:val="24"/>
          <w:szCs w:val="24"/>
        </w:rPr>
      </w:pPr>
    </w:p>
    <w:p w:rsidR="00646A66" w:rsidRDefault="00646A66" w:rsidP="00171135">
      <w:pPr>
        <w:spacing w:line="240" w:lineRule="auto"/>
        <w:jc w:val="both"/>
        <w:rPr>
          <w:rFonts w:ascii="Palatino Linotype" w:hAnsi="Palatino Linotype"/>
          <w:sz w:val="24"/>
          <w:szCs w:val="24"/>
        </w:rPr>
      </w:pPr>
    </w:p>
    <w:p w:rsidR="00646A66" w:rsidRDefault="00646A66" w:rsidP="00171135">
      <w:pPr>
        <w:spacing w:line="240" w:lineRule="auto"/>
        <w:jc w:val="both"/>
        <w:rPr>
          <w:rFonts w:ascii="Palatino Linotype" w:hAnsi="Palatino Linotype"/>
          <w:sz w:val="24"/>
          <w:szCs w:val="24"/>
        </w:rPr>
      </w:pPr>
    </w:p>
    <w:p w:rsidR="00646A66" w:rsidRDefault="00646A66" w:rsidP="00171135">
      <w:pPr>
        <w:spacing w:line="240" w:lineRule="auto"/>
        <w:jc w:val="both"/>
        <w:rPr>
          <w:rFonts w:ascii="Palatino Linotype" w:hAnsi="Palatino Linotype"/>
          <w:sz w:val="24"/>
          <w:szCs w:val="24"/>
        </w:rPr>
      </w:pPr>
    </w:p>
    <w:p w:rsidR="00646A66" w:rsidRDefault="00646A66" w:rsidP="00171135">
      <w:pPr>
        <w:spacing w:line="240" w:lineRule="auto"/>
        <w:jc w:val="both"/>
        <w:rPr>
          <w:rFonts w:ascii="Palatino Linotype" w:hAnsi="Palatino Linotype"/>
          <w:sz w:val="24"/>
          <w:szCs w:val="24"/>
        </w:rPr>
      </w:pPr>
    </w:p>
    <w:p w:rsidR="00646A66" w:rsidRPr="00171135" w:rsidRDefault="00646A66" w:rsidP="00171135">
      <w:pPr>
        <w:spacing w:line="240" w:lineRule="auto"/>
        <w:jc w:val="both"/>
        <w:rPr>
          <w:rFonts w:ascii="Palatino Linotype" w:hAnsi="Palatino Linotype"/>
          <w:sz w:val="24"/>
          <w:szCs w:val="24"/>
        </w:rPr>
      </w:pPr>
    </w:p>
    <w:p w:rsidR="007E31DB" w:rsidRDefault="00B779B0" w:rsidP="00171135">
      <w:pPr>
        <w:spacing w:line="240" w:lineRule="auto"/>
        <w:jc w:val="both"/>
        <w:rPr>
          <w:rFonts w:ascii="Palatino Linotype" w:hAnsi="Palatino Linotype"/>
          <w:sz w:val="24"/>
          <w:szCs w:val="24"/>
        </w:rPr>
      </w:pPr>
      <w:r>
        <w:rPr>
          <w:rFonts w:ascii="Palatino Linotype" w:hAnsi="Palatino Linotype"/>
          <w:sz w:val="24"/>
          <w:szCs w:val="24"/>
        </w:rPr>
        <w:lastRenderedPageBreak/>
        <w:t>Bibliografía citada:</w:t>
      </w:r>
    </w:p>
    <w:p w:rsidR="00B779B0" w:rsidRDefault="00646A66" w:rsidP="00171135">
      <w:pPr>
        <w:spacing w:line="240" w:lineRule="auto"/>
        <w:jc w:val="both"/>
        <w:rPr>
          <w:rFonts w:ascii="Palatino Linotype" w:hAnsi="Palatino Linotype"/>
          <w:sz w:val="24"/>
          <w:szCs w:val="24"/>
        </w:rPr>
      </w:pPr>
      <w:r w:rsidRPr="00646A66">
        <w:rPr>
          <w:rFonts w:ascii="Palatino Linotype" w:hAnsi="Palatino Linotype"/>
          <w:sz w:val="24"/>
          <w:szCs w:val="24"/>
        </w:rPr>
        <w:t xml:space="preserve">Rodríguez, R.: </w:t>
      </w:r>
      <w:r w:rsidRPr="00646A66">
        <w:rPr>
          <w:rFonts w:ascii="Palatino Linotype" w:hAnsi="Palatino Linotype"/>
          <w:i/>
          <w:sz w:val="24"/>
          <w:szCs w:val="24"/>
        </w:rPr>
        <w:t>La transformación hermenéutica de la fenomenología. Una interpretación de la obra temprana de Heidegger</w:t>
      </w:r>
      <w:r w:rsidRPr="00646A66">
        <w:rPr>
          <w:rFonts w:ascii="Palatino Linotype" w:hAnsi="Palatino Linotype"/>
          <w:sz w:val="24"/>
          <w:szCs w:val="24"/>
        </w:rPr>
        <w:t xml:space="preserve">. Madrid: </w:t>
      </w:r>
      <w:proofErr w:type="spellStart"/>
      <w:r w:rsidRPr="00646A66">
        <w:rPr>
          <w:rFonts w:ascii="Palatino Linotype" w:hAnsi="Palatino Linotype"/>
          <w:sz w:val="24"/>
          <w:szCs w:val="24"/>
        </w:rPr>
        <w:t>Tecnos</w:t>
      </w:r>
      <w:proofErr w:type="spellEnd"/>
      <w:r w:rsidRPr="00646A66">
        <w:rPr>
          <w:rFonts w:ascii="Palatino Linotype" w:hAnsi="Palatino Linotype"/>
          <w:sz w:val="24"/>
          <w:szCs w:val="24"/>
        </w:rPr>
        <w:t>, 1997.</w:t>
      </w:r>
    </w:p>
    <w:p w:rsidR="00646A66" w:rsidRPr="00646A66" w:rsidRDefault="00646A66" w:rsidP="00171135">
      <w:pPr>
        <w:spacing w:line="240" w:lineRule="auto"/>
        <w:jc w:val="both"/>
        <w:rPr>
          <w:rFonts w:ascii="Palatino Linotype" w:hAnsi="Palatino Linotype"/>
          <w:sz w:val="24"/>
          <w:szCs w:val="24"/>
        </w:rPr>
      </w:pPr>
      <w:r>
        <w:rPr>
          <w:rFonts w:ascii="Palatino Linotype" w:hAnsi="Palatino Linotype"/>
          <w:sz w:val="24"/>
          <w:szCs w:val="24"/>
        </w:rPr>
        <w:t>____________:</w:t>
      </w:r>
      <w:r w:rsidRPr="00646A66">
        <w:t xml:space="preserve"> </w:t>
      </w:r>
      <w:r>
        <w:t>“</w:t>
      </w:r>
      <w:r w:rsidRPr="00646A66">
        <w:rPr>
          <w:rFonts w:ascii="Palatino Linotype" w:hAnsi="Palatino Linotype"/>
          <w:sz w:val="24"/>
          <w:szCs w:val="24"/>
        </w:rPr>
        <w:t>La indicación formal y su uso en Ser y tiempo</w:t>
      </w:r>
      <w:r>
        <w:rPr>
          <w:rFonts w:ascii="Palatino Linotype" w:hAnsi="Palatino Linotype"/>
          <w:sz w:val="24"/>
          <w:szCs w:val="24"/>
        </w:rPr>
        <w:t xml:space="preserve">”, en </w:t>
      </w:r>
      <w:r w:rsidRPr="00646A66">
        <w:rPr>
          <w:rFonts w:ascii="Palatino Linotype" w:hAnsi="Palatino Linotype"/>
          <w:i/>
          <w:sz w:val="24"/>
          <w:szCs w:val="24"/>
        </w:rPr>
        <w:t>Lenguaje y categorías en la hermenéutica filosófica</w:t>
      </w:r>
      <w:r>
        <w:rPr>
          <w:rFonts w:ascii="Palatino Linotype" w:hAnsi="Palatino Linotype"/>
          <w:i/>
          <w:sz w:val="24"/>
          <w:szCs w:val="24"/>
        </w:rPr>
        <w:t xml:space="preserve"> </w:t>
      </w:r>
      <w:r w:rsidRPr="00646A66">
        <w:rPr>
          <w:rFonts w:ascii="Palatino Linotype" w:hAnsi="Palatino Linotype"/>
          <w:sz w:val="24"/>
          <w:szCs w:val="24"/>
        </w:rPr>
        <w:t>R</w:t>
      </w:r>
      <w:r>
        <w:rPr>
          <w:rFonts w:ascii="Palatino Linotype" w:hAnsi="Palatino Linotype"/>
          <w:sz w:val="24"/>
          <w:szCs w:val="24"/>
        </w:rPr>
        <w:t xml:space="preserve">amón Rodríguez García y </w:t>
      </w:r>
      <w:r w:rsidRPr="00646A66">
        <w:rPr>
          <w:rFonts w:ascii="Palatino Linotype" w:hAnsi="Palatino Linotype"/>
          <w:sz w:val="24"/>
          <w:szCs w:val="24"/>
        </w:rPr>
        <w:t xml:space="preserve">Stefano </w:t>
      </w:r>
      <w:proofErr w:type="spellStart"/>
      <w:r w:rsidRPr="00646A66">
        <w:rPr>
          <w:rFonts w:ascii="Palatino Linotype" w:hAnsi="Palatino Linotype"/>
          <w:sz w:val="24"/>
          <w:szCs w:val="24"/>
        </w:rPr>
        <w:t>Cazzanelli</w:t>
      </w:r>
      <w:proofErr w:type="spellEnd"/>
      <w:r w:rsidRPr="00646A66">
        <w:rPr>
          <w:rFonts w:ascii="Palatino Linotype" w:hAnsi="Palatino Linotype"/>
          <w:sz w:val="24"/>
          <w:szCs w:val="24"/>
        </w:rPr>
        <w:t xml:space="preserve"> </w:t>
      </w:r>
      <w:r>
        <w:rPr>
          <w:rFonts w:ascii="Palatino Linotype" w:hAnsi="Palatino Linotype"/>
          <w:sz w:val="24"/>
          <w:szCs w:val="24"/>
        </w:rPr>
        <w:t>(</w:t>
      </w:r>
      <w:proofErr w:type="spellStart"/>
      <w:r>
        <w:rPr>
          <w:rFonts w:ascii="Palatino Linotype" w:hAnsi="Palatino Linotype"/>
          <w:sz w:val="24"/>
          <w:szCs w:val="24"/>
        </w:rPr>
        <w:t>eds</w:t>
      </w:r>
      <w:proofErr w:type="spellEnd"/>
      <w:r>
        <w:rPr>
          <w:rFonts w:ascii="Palatino Linotype" w:hAnsi="Palatino Linotype"/>
          <w:sz w:val="24"/>
          <w:szCs w:val="24"/>
        </w:rPr>
        <w:t>). Madrid: Biblioteca nueva. 2012</w:t>
      </w:r>
    </w:p>
    <w:p w:rsidR="00B779B0" w:rsidRPr="00171135" w:rsidRDefault="00B779B0" w:rsidP="00171135">
      <w:pPr>
        <w:spacing w:line="240" w:lineRule="auto"/>
        <w:jc w:val="both"/>
        <w:rPr>
          <w:rFonts w:ascii="Palatino Linotype" w:hAnsi="Palatino Linotype"/>
          <w:sz w:val="24"/>
          <w:szCs w:val="24"/>
        </w:rPr>
      </w:pPr>
      <w:r w:rsidRPr="00B779B0">
        <w:rPr>
          <w:rFonts w:ascii="Palatino Linotype" w:hAnsi="Palatino Linotype"/>
          <w:sz w:val="24"/>
          <w:szCs w:val="24"/>
        </w:rPr>
        <w:t xml:space="preserve">Vigo, Alejandro G.: </w:t>
      </w:r>
      <w:r w:rsidRPr="00646A66">
        <w:rPr>
          <w:rFonts w:ascii="Palatino Linotype" w:hAnsi="Palatino Linotype"/>
          <w:i/>
          <w:sz w:val="24"/>
          <w:szCs w:val="24"/>
        </w:rPr>
        <w:t xml:space="preserve">Arqueología y </w:t>
      </w:r>
      <w:proofErr w:type="spellStart"/>
      <w:r w:rsidRPr="00646A66">
        <w:rPr>
          <w:rFonts w:ascii="Palatino Linotype" w:hAnsi="Palatino Linotype"/>
          <w:i/>
          <w:sz w:val="24"/>
          <w:szCs w:val="24"/>
        </w:rPr>
        <w:t>aleteiología</w:t>
      </w:r>
      <w:proofErr w:type="spellEnd"/>
      <w:r w:rsidRPr="00646A66">
        <w:rPr>
          <w:rFonts w:ascii="Palatino Linotype" w:hAnsi="Palatino Linotype"/>
          <w:i/>
          <w:sz w:val="24"/>
          <w:szCs w:val="24"/>
        </w:rPr>
        <w:t>, y otros estudios heideggerianos</w:t>
      </w:r>
      <w:r w:rsidRPr="00B779B0">
        <w:rPr>
          <w:rFonts w:ascii="Palatino Linotype" w:hAnsi="Palatino Linotype"/>
          <w:sz w:val="24"/>
          <w:szCs w:val="24"/>
        </w:rPr>
        <w:t xml:space="preserve">. Buenos Aires: </w:t>
      </w:r>
      <w:proofErr w:type="spellStart"/>
      <w:r w:rsidRPr="00B779B0">
        <w:rPr>
          <w:rFonts w:ascii="Palatino Linotype" w:hAnsi="Palatino Linotype"/>
          <w:sz w:val="24"/>
          <w:szCs w:val="24"/>
        </w:rPr>
        <w:t>Biblos</w:t>
      </w:r>
      <w:proofErr w:type="spellEnd"/>
      <w:r w:rsidRPr="00B779B0">
        <w:rPr>
          <w:rFonts w:ascii="Palatino Linotype" w:hAnsi="Palatino Linotype"/>
          <w:sz w:val="24"/>
          <w:szCs w:val="24"/>
        </w:rPr>
        <w:t>, 2008.</w:t>
      </w:r>
    </w:p>
    <w:sectPr w:rsidR="00B779B0" w:rsidRPr="0017113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70" w:rsidRDefault="005E6970" w:rsidP="001C1E66">
      <w:pPr>
        <w:spacing w:after="0" w:line="240" w:lineRule="auto"/>
      </w:pPr>
      <w:r>
        <w:separator/>
      </w:r>
    </w:p>
  </w:endnote>
  <w:endnote w:type="continuationSeparator" w:id="0">
    <w:p w:rsidR="005E6970" w:rsidRDefault="005E6970" w:rsidP="001C1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70" w:rsidRDefault="005E6970" w:rsidP="001C1E66">
      <w:pPr>
        <w:spacing w:after="0" w:line="240" w:lineRule="auto"/>
      </w:pPr>
      <w:r>
        <w:separator/>
      </w:r>
    </w:p>
  </w:footnote>
  <w:footnote w:type="continuationSeparator" w:id="0">
    <w:p w:rsidR="005E6970" w:rsidRDefault="005E6970" w:rsidP="001C1E66">
      <w:pPr>
        <w:spacing w:after="0" w:line="240" w:lineRule="auto"/>
      </w:pPr>
      <w:r>
        <w:continuationSeparator/>
      </w:r>
    </w:p>
  </w:footnote>
  <w:footnote w:id="1">
    <w:p w:rsidR="008C1E70" w:rsidRPr="00171135" w:rsidRDefault="008C1E70" w:rsidP="008C1E70">
      <w:pPr>
        <w:pStyle w:val="Textonotapie"/>
        <w:jc w:val="both"/>
        <w:rPr>
          <w:rFonts w:ascii="Palatino Linotype" w:hAnsi="Palatino Linotype"/>
        </w:rPr>
      </w:pPr>
      <w:r w:rsidRPr="00171135">
        <w:rPr>
          <w:rStyle w:val="Refdenotaalpie"/>
          <w:rFonts w:ascii="Palatino Linotype" w:hAnsi="Palatino Linotype"/>
        </w:rPr>
        <w:footnoteRef/>
      </w:r>
      <w:r w:rsidRPr="00171135">
        <w:rPr>
          <w:rFonts w:ascii="Palatino Linotype" w:hAnsi="Palatino Linotype"/>
        </w:rPr>
        <w:t xml:space="preserve"> Como es sabido, Heidegger sólo publicó dos de las tres secciones de la primera de dos partes que consideraba  el proyecto in</w:t>
      </w:r>
      <w:r w:rsidR="00414756" w:rsidRPr="00171135">
        <w:rPr>
          <w:rFonts w:ascii="Palatino Linotype" w:hAnsi="Palatino Linotype"/>
        </w:rPr>
        <w:t>icialme</w:t>
      </w:r>
      <w:r w:rsidRPr="00171135">
        <w:rPr>
          <w:rFonts w:ascii="Palatino Linotype" w:hAnsi="Palatino Linotype"/>
        </w:rPr>
        <w:t>nte. Un excelente esquema del plan del tratado, de lo que fue y no fue publicado, y de lo que puede considerarse en lecciones posteriores de Heidegger como complemento de Ser y Tiempo, aparece en p. 52-53 de este comentario.</w:t>
      </w:r>
    </w:p>
  </w:footnote>
  <w:footnote w:id="2">
    <w:p w:rsidR="00B779B0" w:rsidRPr="00646A66" w:rsidRDefault="00B779B0">
      <w:pPr>
        <w:pStyle w:val="Textonotapie"/>
        <w:rPr>
          <w:rFonts w:ascii="Palatino Linotype" w:hAnsi="Palatino Linotype"/>
        </w:rPr>
      </w:pPr>
      <w:r w:rsidRPr="00646A66">
        <w:rPr>
          <w:rStyle w:val="Refdenotaalpie"/>
          <w:rFonts w:ascii="Palatino Linotype" w:hAnsi="Palatino Linotype"/>
        </w:rPr>
        <w:footnoteRef/>
      </w:r>
      <w:r w:rsidRPr="00646A66">
        <w:rPr>
          <w:rFonts w:ascii="Palatino Linotype" w:hAnsi="Palatino Linotype"/>
        </w:rPr>
        <w:t xml:space="preserve"> Cf. Vigo 2008.</w:t>
      </w:r>
      <w:bookmarkStart w:id="0" w:name="_GoBack"/>
      <w:bookmarkEnd w:id="0"/>
    </w:p>
  </w:footnote>
  <w:footnote w:id="3">
    <w:p w:rsidR="00BF0136" w:rsidRPr="00171135" w:rsidRDefault="00BF0136" w:rsidP="00BF0136">
      <w:pPr>
        <w:pStyle w:val="Textonotapie"/>
        <w:jc w:val="both"/>
        <w:rPr>
          <w:rFonts w:ascii="Palatino Linotype" w:hAnsi="Palatino Linotype"/>
        </w:rPr>
      </w:pPr>
      <w:r w:rsidRPr="00171135">
        <w:rPr>
          <w:rStyle w:val="Refdenotaalpie"/>
          <w:rFonts w:ascii="Palatino Linotype" w:hAnsi="Palatino Linotype"/>
        </w:rPr>
        <w:footnoteRef/>
      </w:r>
      <w:r w:rsidRPr="00171135">
        <w:rPr>
          <w:rFonts w:ascii="Palatino Linotype" w:hAnsi="Palatino Linotype"/>
        </w:rPr>
        <w:t xml:space="preserve"> Este es tal vez uno de los pocos casos en que no hay exacta homogeneidad en la traducción de los términos, ya que, si bien Di Silvestre y </w:t>
      </w:r>
      <w:proofErr w:type="spellStart"/>
      <w:r w:rsidRPr="00171135">
        <w:rPr>
          <w:rFonts w:ascii="Palatino Linotype" w:hAnsi="Palatino Linotype"/>
        </w:rPr>
        <w:t>Walton</w:t>
      </w:r>
      <w:proofErr w:type="spellEnd"/>
      <w:r w:rsidRPr="00171135">
        <w:rPr>
          <w:rFonts w:ascii="Palatino Linotype" w:hAnsi="Palatino Linotype"/>
        </w:rPr>
        <w:t xml:space="preserve"> usan el término “</w:t>
      </w:r>
      <w:proofErr w:type="spellStart"/>
      <w:r w:rsidRPr="00171135">
        <w:rPr>
          <w:rFonts w:ascii="Palatino Linotype" w:hAnsi="Palatino Linotype"/>
        </w:rPr>
        <w:t>temporeidad</w:t>
      </w:r>
      <w:proofErr w:type="spellEnd"/>
      <w:r w:rsidRPr="00171135">
        <w:rPr>
          <w:rFonts w:ascii="Palatino Linotype" w:hAnsi="Palatino Linotype"/>
        </w:rPr>
        <w:t xml:space="preserve">” para traducir </w:t>
      </w:r>
      <w:proofErr w:type="spellStart"/>
      <w:r w:rsidRPr="00171135">
        <w:rPr>
          <w:rFonts w:ascii="Palatino Linotype" w:hAnsi="Palatino Linotype"/>
          <w:i/>
        </w:rPr>
        <w:t>Zeitlichkeit</w:t>
      </w:r>
      <w:proofErr w:type="spellEnd"/>
      <w:r w:rsidRPr="00171135">
        <w:rPr>
          <w:rFonts w:ascii="Palatino Linotype" w:hAnsi="Palatino Linotype"/>
          <w:i/>
        </w:rPr>
        <w:t xml:space="preserve">, </w:t>
      </w:r>
      <w:r w:rsidRPr="00171135">
        <w:rPr>
          <w:rFonts w:ascii="Palatino Linotype" w:hAnsi="Palatino Linotype"/>
        </w:rPr>
        <w:t>por otra parte, Ramón Rodríguez usa la palabra “temporalidad” para traducir este mismo concepto (cf. p. 303). El comentario, sin embargo, advierte siempre en notas correspondientes las decisiones de sus autores en relación a la traducción de conceptos centrales de la obra, conceptos de los cuales, por su propia naturaleza filosófica, no es esperable tampoco una traducción unánime (cf.</w:t>
      </w:r>
      <w:r w:rsidR="00B31058" w:rsidRPr="00171135">
        <w:rPr>
          <w:rFonts w:ascii="Palatino Linotype" w:hAnsi="Palatino Linotype"/>
        </w:rPr>
        <w:t xml:space="preserve"> </w:t>
      </w:r>
      <w:r w:rsidRPr="00171135">
        <w:rPr>
          <w:rFonts w:ascii="Palatino Linotype" w:hAnsi="Palatino Linotype"/>
        </w:rPr>
        <w:t>p. 13).</w:t>
      </w:r>
    </w:p>
  </w:footnote>
  <w:footnote w:id="4">
    <w:p w:rsidR="00B779B0" w:rsidRPr="00646A66" w:rsidRDefault="00B779B0">
      <w:pPr>
        <w:pStyle w:val="Textonotapie"/>
        <w:rPr>
          <w:rFonts w:ascii="Palatino Linotype" w:hAnsi="Palatino Linotype"/>
        </w:rPr>
      </w:pPr>
      <w:r w:rsidRPr="00646A66">
        <w:rPr>
          <w:rStyle w:val="Refdenotaalpie"/>
          <w:rFonts w:ascii="Palatino Linotype" w:hAnsi="Palatino Linotype"/>
        </w:rPr>
        <w:footnoteRef/>
      </w:r>
      <w:r w:rsidRPr="00646A66">
        <w:rPr>
          <w:rFonts w:ascii="Palatino Linotype" w:hAnsi="Palatino Linotype"/>
        </w:rPr>
        <w:t xml:space="preserve"> Cf. Rodríguez 1997 pp.155-181, Rodríguez 2012 pp. 157-176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36"/>
    <w:rsid w:val="0000621E"/>
    <w:rsid w:val="00022AAE"/>
    <w:rsid w:val="000A41FE"/>
    <w:rsid w:val="000F07A2"/>
    <w:rsid w:val="00145622"/>
    <w:rsid w:val="0016536D"/>
    <w:rsid w:val="00170062"/>
    <w:rsid w:val="00171135"/>
    <w:rsid w:val="001C1E66"/>
    <w:rsid w:val="001F4AEA"/>
    <w:rsid w:val="00227D93"/>
    <w:rsid w:val="002311F1"/>
    <w:rsid w:val="00256417"/>
    <w:rsid w:val="00267837"/>
    <w:rsid w:val="00270F1F"/>
    <w:rsid w:val="00293F8A"/>
    <w:rsid w:val="002C7F04"/>
    <w:rsid w:val="00306C3C"/>
    <w:rsid w:val="00336203"/>
    <w:rsid w:val="00336C0C"/>
    <w:rsid w:val="00381035"/>
    <w:rsid w:val="003B090D"/>
    <w:rsid w:val="00414756"/>
    <w:rsid w:val="00420790"/>
    <w:rsid w:val="00487C21"/>
    <w:rsid w:val="004E7AE0"/>
    <w:rsid w:val="00531A5F"/>
    <w:rsid w:val="00542CEA"/>
    <w:rsid w:val="00544D26"/>
    <w:rsid w:val="00562D5F"/>
    <w:rsid w:val="00567E1E"/>
    <w:rsid w:val="00570A18"/>
    <w:rsid w:val="005B0D60"/>
    <w:rsid w:val="005B2004"/>
    <w:rsid w:val="005B6C21"/>
    <w:rsid w:val="005E3F5A"/>
    <w:rsid w:val="005E6970"/>
    <w:rsid w:val="005F117B"/>
    <w:rsid w:val="00612F7C"/>
    <w:rsid w:val="0061678F"/>
    <w:rsid w:val="00631EC3"/>
    <w:rsid w:val="00646A66"/>
    <w:rsid w:val="00694831"/>
    <w:rsid w:val="006C6989"/>
    <w:rsid w:val="006E5A67"/>
    <w:rsid w:val="00735A34"/>
    <w:rsid w:val="007443F0"/>
    <w:rsid w:val="00763DEF"/>
    <w:rsid w:val="00772AC7"/>
    <w:rsid w:val="007A036C"/>
    <w:rsid w:val="007B23FA"/>
    <w:rsid w:val="007B2436"/>
    <w:rsid w:val="007D59E7"/>
    <w:rsid w:val="007E31DB"/>
    <w:rsid w:val="00860D72"/>
    <w:rsid w:val="008B7C73"/>
    <w:rsid w:val="008C1E70"/>
    <w:rsid w:val="008C376B"/>
    <w:rsid w:val="009B268C"/>
    <w:rsid w:val="009B2B90"/>
    <w:rsid w:val="009F318E"/>
    <w:rsid w:val="009F52AA"/>
    <w:rsid w:val="00A35D27"/>
    <w:rsid w:val="00A91C26"/>
    <w:rsid w:val="00AB4748"/>
    <w:rsid w:val="00AB51D2"/>
    <w:rsid w:val="00AB733C"/>
    <w:rsid w:val="00AD201B"/>
    <w:rsid w:val="00B00303"/>
    <w:rsid w:val="00B31058"/>
    <w:rsid w:val="00B44EE0"/>
    <w:rsid w:val="00B642F8"/>
    <w:rsid w:val="00B67515"/>
    <w:rsid w:val="00B758F3"/>
    <w:rsid w:val="00B779B0"/>
    <w:rsid w:val="00BA06A5"/>
    <w:rsid w:val="00BD5361"/>
    <w:rsid w:val="00BE7AEF"/>
    <w:rsid w:val="00BF0136"/>
    <w:rsid w:val="00C25571"/>
    <w:rsid w:val="00C25CE6"/>
    <w:rsid w:val="00C71D07"/>
    <w:rsid w:val="00C75B50"/>
    <w:rsid w:val="00CA57C4"/>
    <w:rsid w:val="00CE1E77"/>
    <w:rsid w:val="00D02850"/>
    <w:rsid w:val="00D03F57"/>
    <w:rsid w:val="00D50965"/>
    <w:rsid w:val="00DB5610"/>
    <w:rsid w:val="00DE474A"/>
    <w:rsid w:val="00E65B20"/>
    <w:rsid w:val="00E775C5"/>
    <w:rsid w:val="00EA100B"/>
    <w:rsid w:val="00EC30AE"/>
    <w:rsid w:val="00F256CE"/>
    <w:rsid w:val="00F44EC5"/>
    <w:rsid w:val="00FC0682"/>
    <w:rsid w:val="00FC468E"/>
    <w:rsid w:val="00FD710A"/>
    <w:rsid w:val="00FF07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C1E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1E66"/>
    <w:rPr>
      <w:sz w:val="20"/>
      <w:szCs w:val="20"/>
    </w:rPr>
  </w:style>
  <w:style w:type="character" w:styleId="Refdenotaalpie">
    <w:name w:val="footnote reference"/>
    <w:basedOn w:val="Fuentedeprrafopredeter"/>
    <w:uiPriority w:val="99"/>
    <w:semiHidden/>
    <w:unhideWhenUsed/>
    <w:rsid w:val="001C1E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C1E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1E66"/>
    <w:rPr>
      <w:sz w:val="20"/>
      <w:szCs w:val="20"/>
    </w:rPr>
  </w:style>
  <w:style w:type="character" w:styleId="Refdenotaalpie">
    <w:name w:val="footnote reference"/>
    <w:basedOn w:val="Fuentedeprrafopredeter"/>
    <w:uiPriority w:val="99"/>
    <w:semiHidden/>
    <w:unhideWhenUsed/>
    <w:rsid w:val="001C1E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6A29A-088A-496F-ACF8-9F68F6400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2114</Words>
  <Characters>11632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2016-08-24T23:57:00Z</dcterms:created>
  <dcterms:modified xsi:type="dcterms:W3CDTF">2016-08-29T14:35:00Z</dcterms:modified>
</cp:coreProperties>
</file>